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BE" w:rsidRPr="00603BC3" w:rsidRDefault="00B343BE" w:rsidP="00AB217E">
      <w:pPr>
        <w:ind w:right="-2"/>
        <w:jc w:val="center"/>
        <w:rPr>
          <w:b/>
          <w:color w:val="000000"/>
          <w:sz w:val="28"/>
          <w:szCs w:val="28"/>
        </w:rPr>
      </w:pPr>
    </w:p>
    <w:p w:rsidR="00C80903" w:rsidRPr="00C80903" w:rsidRDefault="00C80903" w:rsidP="00C80903">
      <w:pPr>
        <w:ind w:left="709" w:right="1701" w:firstLine="709"/>
        <w:jc w:val="center"/>
        <w:rPr>
          <w:b/>
        </w:rPr>
      </w:pPr>
      <w:r w:rsidRPr="00C80903">
        <w:rPr>
          <w:b/>
        </w:rPr>
        <w:t>РОСТОВСКА ОБЛАСТЬ</w:t>
      </w:r>
    </w:p>
    <w:p w:rsidR="00C80903" w:rsidRPr="00C80903" w:rsidRDefault="00C80903" w:rsidP="00C80903">
      <w:pPr>
        <w:ind w:left="1418" w:right="1701"/>
        <w:jc w:val="center"/>
        <w:rPr>
          <w:b/>
        </w:rPr>
      </w:pPr>
      <w:r w:rsidRPr="00C80903">
        <w:rPr>
          <w:b/>
        </w:rPr>
        <w:t>КРАСНОСУЛИНСКИЙ РАЙОН</w:t>
      </w:r>
      <w:r w:rsidRPr="00C80903">
        <w:rPr>
          <w:b/>
        </w:rPr>
        <w:br/>
        <w:t>АДМИНИСТРАЦИЯ</w:t>
      </w:r>
    </w:p>
    <w:p w:rsidR="00C80903" w:rsidRPr="00C80903" w:rsidRDefault="00C80903" w:rsidP="00C80903">
      <w:pPr>
        <w:ind w:right="963" w:firstLine="709"/>
        <w:jc w:val="center"/>
        <w:rPr>
          <w:b/>
        </w:rPr>
      </w:pPr>
      <w:r w:rsidRPr="00C80903">
        <w:rPr>
          <w:b/>
        </w:rPr>
        <w:t>КОВАЛЕВСКОГО СЕЛЬСКОГО ПОЛСЕЛЕНИЯ</w:t>
      </w:r>
    </w:p>
    <w:p w:rsidR="00C80903" w:rsidRPr="00C80903" w:rsidRDefault="00C80903" w:rsidP="00C80903">
      <w:pPr>
        <w:spacing w:before="20" w:after="12"/>
        <w:ind w:right="1701"/>
        <w:jc w:val="center"/>
        <w:rPr>
          <w:b/>
        </w:rPr>
      </w:pPr>
      <w:r w:rsidRPr="00C80903">
        <w:rPr>
          <w:b/>
        </w:rPr>
        <w:tab/>
      </w:r>
    </w:p>
    <w:p w:rsidR="003550B6" w:rsidRDefault="00C80903" w:rsidP="00C80903">
      <w:pPr>
        <w:spacing w:before="20" w:after="12"/>
        <w:ind w:left="709" w:right="1701" w:firstLine="709"/>
        <w:jc w:val="center"/>
        <w:rPr>
          <w:b/>
        </w:rPr>
      </w:pPr>
      <w:r w:rsidRPr="00C80903">
        <w:rPr>
          <w:b/>
        </w:rPr>
        <w:t>ПОСТАНОВЛЕНИЕ</w:t>
      </w:r>
      <w:r w:rsidR="003550B6">
        <w:rPr>
          <w:b/>
        </w:rPr>
        <w:t xml:space="preserve"> </w:t>
      </w:r>
    </w:p>
    <w:p w:rsidR="00F52009" w:rsidRDefault="00F52009" w:rsidP="003550B6">
      <w:pPr>
        <w:spacing w:before="20" w:after="12"/>
        <w:ind w:right="-2"/>
        <w:jc w:val="center"/>
        <w:rPr>
          <w:b/>
        </w:rPr>
      </w:pPr>
    </w:p>
    <w:p w:rsidR="00C80903" w:rsidRPr="00C80903" w:rsidRDefault="00481869" w:rsidP="003550B6">
      <w:pPr>
        <w:spacing w:before="20" w:after="12"/>
        <w:ind w:right="-2"/>
        <w:jc w:val="center"/>
        <w:rPr>
          <w:b/>
        </w:rPr>
      </w:pPr>
      <w:r>
        <w:rPr>
          <w:b/>
        </w:rPr>
        <w:t>29</w:t>
      </w:r>
      <w:r w:rsidR="003550B6">
        <w:rPr>
          <w:b/>
        </w:rPr>
        <w:t>.1</w:t>
      </w:r>
      <w:r>
        <w:rPr>
          <w:b/>
        </w:rPr>
        <w:t>1</w:t>
      </w:r>
      <w:r w:rsidR="003550B6">
        <w:rPr>
          <w:b/>
        </w:rPr>
        <w:t>.201</w:t>
      </w:r>
      <w:r>
        <w:rPr>
          <w:b/>
        </w:rPr>
        <w:t>9</w:t>
      </w:r>
      <w:r w:rsidR="003550B6">
        <w:rPr>
          <w:b/>
        </w:rPr>
        <w:t xml:space="preserve">                 </w:t>
      </w:r>
      <w:r w:rsidR="003550B6">
        <w:rPr>
          <w:b/>
        </w:rPr>
        <w:tab/>
        <w:t xml:space="preserve">                        №</w:t>
      </w:r>
      <w:r w:rsidR="008E1AFA">
        <w:rPr>
          <w:b/>
        </w:rPr>
        <w:t xml:space="preserve"> </w:t>
      </w:r>
      <w:r>
        <w:rPr>
          <w:b/>
        </w:rPr>
        <w:t>95</w:t>
      </w:r>
      <w:r w:rsidR="003550B6">
        <w:rPr>
          <w:b/>
        </w:rPr>
        <w:t xml:space="preserve">                                              </w:t>
      </w:r>
      <w:r w:rsidR="005507AB">
        <w:rPr>
          <w:b/>
        </w:rPr>
        <w:t>х</w:t>
      </w:r>
      <w:r w:rsidR="003550B6">
        <w:rPr>
          <w:b/>
        </w:rPr>
        <w:t>.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481869">
      <w:pPr>
        <w:ind w:right="4393"/>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 </w:t>
      </w:r>
    </w:p>
    <w:p w:rsidR="003550B6" w:rsidRPr="003550B6" w:rsidRDefault="003550B6" w:rsidP="003550B6">
      <w:pPr>
        <w:suppressAutoHyphens/>
        <w:ind w:right="4251"/>
        <w:rPr>
          <w:sz w:val="28"/>
          <w:szCs w:val="28"/>
        </w:rPr>
      </w:pPr>
    </w:p>
    <w:p w:rsidR="00481869" w:rsidRPr="00481869" w:rsidRDefault="00481869" w:rsidP="00481869">
      <w:pPr>
        <w:widowControl w:val="0"/>
        <w:suppressAutoHyphens/>
        <w:autoSpaceDE w:val="0"/>
        <w:ind w:firstLine="567"/>
        <w:jc w:val="both"/>
        <w:rPr>
          <w:bCs/>
          <w:sz w:val="28"/>
          <w:szCs w:val="28"/>
          <w:lang w:eastAsia="zh-CN"/>
        </w:rPr>
      </w:pPr>
      <w:proofErr w:type="gramStart"/>
      <w:r w:rsidRPr="00481869">
        <w:rPr>
          <w:bCs/>
          <w:sz w:val="28"/>
          <w:szCs w:val="28"/>
          <w:lang w:eastAsia="zh-CN"/>
        </w:rPr>
        <w:t>В соответствии с постановлениями Администрации Ковалевского сельского поселения от 10.07.2019 №53/1 «Об утверждении Порядка и сроков составления проекта бюджета Ковалевского сельского поселения Красносулинского района на 2020 год и на плановый период 2021 и 2022 годов», от 19.02.2018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 руководствуясь статьей 33 Устава муниципального</w:t>
      </w:r>
      <w:proofErr w:type="gramEnd"/>
      <w:r w:rsidRPr="00481869">
        <w:rPr>
          <w:bCs/>
          <w:sz w:val="28"/>
          <w:szCs w:val="28"/>
          <w:lang w:eastAsia="zh-CN"/>
        </w:rPr>
        <w:t xml:space="preserve"> образования «Ковалевское сельское поселение», Администрация Ковалевского сельского поселения, -</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2. Настоящее постановление вступает в силу со дня его официального обнародования, но не ранее 01.01.2020 и распространяется на правоотношения, возникающие начиная с составления проекта бюджета  Ковалевского сельского поселения Красносулинского района на 2020 год и на плановый период 2021 и 2022 годов.</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8E1AFA" w:rsidRDefault="008E1AFA" w:rsidP="003550B6">
      <w:pPr>
        <w:widowControl w:val="0"/>
        <w:suppressAutoHyphens/>
        <w:autoSpaceDE w:val="0"/>
        <w:rPr>
          <w:sz w:val="28"/>
          <w:szCs w:val="28"/>
          <w:lang w:eastAsia="zh-CN"/>
        </w:rPr>
      </w:pPr>
    </w:p>
    <w:p w:rsidR="008E1AFA" w:rsidRPr="003550B6" w:rsidRDefault="008E1AFA"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10738B" w:rsidRDefault="0010738B"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8B02FC">
      <w:pPr>
        <w:widowControl w:val="0"/>
        <w:autoSpaceDE w:val="0"/>
        <w:autoSpaceDN w:val="0"/>
        <w:adjustRightInd w:val="0"/>
        <w:ind w:firstLine="709"/>
        <w:jc w:val="right"/>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D164CA" w:rsidRDefault="00D164CA" w:rsidP="0006362D">
      <w:pPr>
        <w:tabs>
          <w:tab w:val="left" w:pos="6379"/>
        </w:tabs>
        <w:ind w:left="5670"/>
        <w:jc w:val="right"/>
        <w:rPr>
          <w:sz w:val="22"/>
          <w:szCs w:val="22"/>
        </w:rPr>
      </w:pPr>
      <w:r w:rsidRPr="00D164CA">
        <w:rPr>
          <w:sz w:val="22"/>
          <w:szCs w:val="22"/>
        </w:rPr>
        <w:t xml:space="preserve">от </w:t>
      </w:r>
      <w:r w:rsidR="0006362D">
        <w:rPr>
          <w:sz w:val="22"/>
          <w:szCs w:val="22"/>
        </w:rPr>
        <w:t>2</w:t>
      </w:r>
      <w:r w:rsidR="00F973E2">
        <w:rPr>
          <w:sz w:val="22"/>
          <w:szCs w:val="22"/>
        </w:rPr>
        <w:t>9</w:t>
      </w:r>
      <w:r w:rsidR="00F33B44">
        <w:rPr>
          <w:sz w:val="22"/>
          <w:szCs w:val="22"/>
        </w:rPr>
        <w:t>.</w:t>
      </w:r>
      <w:r w:rsidR="0006362D">
        <w:rPr>
          <w:sz w:val="22"/>
          <w:szCs w:val="22"/>
        </w:rPr>
        <w:t>1</w:t>
      </w:r>
      <w:r w:rsidR="00F973E2">
        <w:rPr>
          <w:sz w:val="22"/>
          <w:szCs w:val="22"/>
        </w:rPr>
        <w:t>1</w:t>
      </w:r>
      <w:r w:rsidR="00F33B44">
        <w:rPr>
          <w:sz w:val="22"/>
          <w:szCs w:val="22"/>
        </w:rPr>
        <w:t>.201</w:t>
      </w:r>
      <w:r w:rsidR="00F973E2">
        <w:rPr>
          <w:sz w:val="22"/>
          <w:szCs w:val="22"/>
        </w:rPr>
        <w:t>9</w:t>
      </w:r>
      <w:r w:rsidR="00F33B44">
        <w:rPr>
          <w:sz w:val="22"/>
          <w:szCs w:val="22"/>
        </w:rPr>
        <w:t xml:space="preserve">  №</w:t>
      </w:r>
      <w:r w:rsidR="00F973E2">
        <w:rPr>
          <w:sz w:val="22"/>
          <w:szCs w:val="22"/>
        </w:rPr>
        <w:t xml:space="preserve"> 95</w:t>
      </w:r>
    </w:p>
    <w:p w:rsidR="0006362D" w:rsidRDefault="0006362D" w:rsidP="0006362D">
      <w:pPr>
        <w:tabs>
          <w:tab w:val="left" w:pos="6379"/>
        </w:tabs>
        <w:ind w:left="5670"/>
        <w:jc w:val="right"/>
        <w:rPr>
          <w:b/>
          <w:sz w:val="28"/>
          <w:szCs w:val="28"/>
        </w:rPr>
      </w:pP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lastRenderedPageBreak/>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Pr="0006362D">
              <w:rPr>
                <w:spacing w:val="-4"/>
                <w:sz w:val="28"/>
                <w:szCs w:val="28"/>
                <w:shd w:val="clear" w:color="auto" w:fill="FFFFFF"/>
                <w:lang w:eastAsia="zh-CN"/>
              </w:rPr>
              <w:t xml:space="preserve">120,0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F47EB9"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2023</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lastRenderedPageBreak/>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Pr="004F4C6A">
              <w:rPr>
                <w:spacing w:val="-4"/>
                <w:shd w:val="clear" w:color="auto" w:fill="FFFFFF"/>
              </w:rPr>
              <w:t xml:space="preserve">120,0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числе средства бюджета поселения– 120,0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lastRenderedPageBreak/>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F47EB9"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2023</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lastRenderedPageBreak/>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lastRenderedPageBreak/>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lastRenderedPageBreak/>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F47EB9" w:rsidP="0006362D">
            <w:pPr>
              <w:autoSpaceDE w:val="0"/>
              <w:spacing w:line="228" w:lineRule="auto"/>
              <w:jc w:val="both"/>
              <w:rPr>
                <w:rFonts w:eastAsia="Calibri"/>
                <w:spacing w:val="-6"/>
                <w:kern w:val="1"/>
                <w:lang w:eastAsia="en-US"/>
              </w:rPr>
            </w:pPr>
            <w:r>
              <w:rPr>
                <w:rFonts w:eastAsia="Calibri"/>
                <w:spacing w:val="-6"/>
                <w:kern w:val="1"/>
                <w:lang w:eastAsia="en-US"/>
              </w:rPr>
              <w:t>Объем финансирования  на 2023</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lastRenderedPageBreak/>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8"/>
          <w:pgSz w:w="11906" w:h="16838"/>
          <w:pgMar w:top="568" w:right="851" w:bottom="568" w:left="1418" w:header="709" w:footer="709" w:gutter="0"/>
          <w:cols w:space="708"/>
          <w:titlePg/>
          <w:docGrid w:linePitch="360"/>
        </w:sectPr>
      </w:pPr>
    </w:p>
    <w:tbl>
      <w:tblPr>
        <w:tblW w:w="0" w:type="auto"/>
        <w:tblLook w:val="04A0"/>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671D41">
            <w:pPr>
              <w:widowControl w:val="0"/>
              <w:autoSpaceDE w:val="0"/>
              <w:autoSpaceDN w:val="0"/>
              <w:adjustRightInd w:val="0"/>
              <w:jc w:val="center"/>
            </w:pPr>
            <w:r w:rsidRPr="00671D41">
              <w:t>120,0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671D41" w:rsidP="00707AAC">
            <w:pPr>
              <w:widowControl w:val="0"/>
              <w:autoSpaceDE w:val="0"/>
              <w:autoSpaceDN w:val="0"/>
              <w:adjustRightInd w:val="0"/>
              <w:jc w:val="center"/>
            </w:pPr>
            <w:r w:rsidRPr="00671D41">
              <w:t>120,0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671D41">
            <w:r w:rsidRPr="00671D41">
              <w:t>10,0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671D41" w:rsidRPr="00707AAC" w:rsidTr="003C1288">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Pr="00A4543A" w:rsidRDefault="00671D41" w:rsidP="003C1288">
            <w:r w:rsidRPr="00A4543A">
              <w:t>10,0</w:t>
            </w:r>
          </w:p>
        </w:tc>
      </w:tr>
      <w:tr w:rsidR="00671D41" w:rsidRPr="00707AAC" w:rsidTr="00671D41">
        <w:trPr>
          <w:trHeight w:val="1029"/>
        </w:trPr>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671D41" w:rsidRPr="00707AAC" w:rsidRDefault="00671D41" w:rsidP="00707AAC">
            <w:pPr>
              <w:widowControl w:val="0"/>
              <w:autoSpaceDE w:val="0"/>
              <w:autoSpaceDN w:val="0"/>
              <w:adjustRightInd w:val="0"/>
              <w:jc w:val="center"/>
            </w:pPr>
            <w:r w:rsidRPr="00707AAC">
              <w:t>951</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671D41" w:rsidP="003C1288">
            <w:r w:rsidRPr="00A4543A">
              <w:t>120,0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8162C0" w:rsidP="008162C0">
            <w:pPr>
              <w:jc w:val="center"/>
            </w:pPr>
            <w:r w:rsidRPr="00A4543A">
              <w:t>120,0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3C1288">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бюджет поселения</w:t>
            </w:r>
          </w:p>
        </w:tc>
        <w:tc>
          <w:tcPr>
            <w:tcW w:w="1276" w:type="dxa"/>
          </w:tcPr>
          <w:p w:rsidR="008162C0" w:rsidRPr="006B0CBE" w:rsidRDefault="008162C0" w:rsidP="008162C0">
            <w:pPr>
              <w:jc w:val="center"/>
            </w:pPr>
            <w:r w:rsidRPr="006B0CBE">
              <w:t>120,0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8"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709"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Pr="006B0CBE" w:rsidRDefault="008162C0" w:rsidP="008162C0">
            <w:pPr>
              <w:jc w:val="center"/>
            </w:pPr>
            <w:r w:rsidRPr="006B0CBE">
              <w:t>10,0</w:t>
            </w:r>
          </w:p>
        </w:tc>
        <w:tc>
          <w:tcPr>
            <w:tcW w:w="850" w:type="dxa"/>
          </w:tcPr>
          <w:p w:rsidR="008162C0" w:rsidRPr="006B0CBE" w:rsidRDefault="008162C0" w:rsidP="008162C0">
            <w:pPr>
              <w:jc w:val="center"/>
            </w:pPr>
            <w:r w:rsidRPr="006B0CBE">
              <w:t>10,0</w:t>
            </w:r>
          </w:p>
        </w:tc>
        <w:tc>
          <w:tcPr>
            <w:tcW w:w="851" w:type="dxa"/>
          </w:tcPr>
          <w:p w:rsidR="008162C0" w:rsidRDefault="008162C0"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8162C0" w:rsidRPr="008938D1" w:rsidTr="003C1288">
        <w:tc>
          <w:tcPr>
            <w:tcW w:w="2268" w:type="dxa"/>
            <w:vMerge w:val="restart"/>
            <w:tcBorders>
              <w:top w:val="single" w:sz="4" w:space="0" w:color="auto"/>
              <w:left w:val="single" w:sz="4" w:space="0" w:color="auto"/>
              <w:right w:val="single" w:sz="4" w:space="0" w:color="auto"/>
            </w:tcBorders>
          </w:tcPr>
          <w:p w:rsidR="008162C0" w:rsidRPr="008938D1" w:rsidRDefault="008162C0"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9C14E6" w:rsidRDefault="008162C0" w:rsidP="008162C0">
            <w:pPr>
              <w:jc w:val="center"/>
            </w:pPr>
            <w:r w:rsidRPr="009C14E6">
              <w:t>120,0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8"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709"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Pr="009C14E6" w:rsidRDefault="008162C0" w:rsidP="008162C0">
            <w:pPr>
              <w:jc w:val="center"/>
            </w:pPr>
            <w:r w:rsidRPr="009C14E6">
              <w:t>10,0</w:t>
            </w:r>
          </w:p>
        </w:tc>
        <w:tc>
          <w:tcPr>
            <w:tcW w:w="850" w:type="dxa"/>
          </w:tcPr>
          <w:p w:rsidR="008162C0" w:rsidRPr="009C14E6" w:rsidRDefault="008162C0" w:rsidP="008162C0">
            <w:pPr>
              <w:jc w:val="center"/>
            </w:pPr>
            <w:r w:rsidRPr="009C14E6">
              <w:t>10,0</w:t>
            </w:r>
          </w:p>
        </w:tc>
        <w:tc>
          <w:tcPr>
            <w:tcW w:w="851" w:type="dxa"/>
          </w:tcPr>
          <w:p w:rsidR="008162C0" w:rsidRDefault="008162C0"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3C1288">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Pr="005B6B56" w:rsidRDefault="008162C0" w:rsidP="008162C0">
            <w:pPr>
              <w:jc w:val="center"/>
            </w:pPr>
            <w:r w:rsidRPr="005B6B56">
              <w:t>120,0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8"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709"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Pr="005B6B56" w:rsidRDefault="008162C0" w:rsidP="008162C0">
            <w:pPr>
              <w:jc w:val="center"/>
            </w:pPr>
            <w:r w:rsidRPr="005B6B56">
              <w:t>10,0</w:t>
            </w:r>
          </w:p>
        </w:tc>
        <w:tc>
          <w:tcPr>
            <w:tcW w:w="850" w:type="dxa"/>
          </w:tcPr>
          <w:p w:rsidR="008162C0" w:rsidRPr="005B6B56" w:rsidRDefault="008162C0" w:rsidP="008162C0">
            <w:pPr>
              <w:jc w:val="center"/>
            </w:pPr>
            <w:r w:rsidRPr="005B6B56">
              <w:t>10,0</w:t>
            </w:r>
          </w:p>
        </w:tc>
        <w:tc>
          <w:tcPr>
            <w:tcW w:w="851" w:type="dxa"/>
          </w:tcPr>
          <w:p w:rsidR="008162C0" w:rsidRDefault="008162C0"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bookmarkStart w:id="0" w:name="_GoBack"/>
      <w:bookmarkEnd w:id="0"/>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F8A" w:rsidRPr="0006102C" w:rsidRDefault="00410F8A" w:rsidP="0006102C">
      <w:pPr>
        <w:pStyle w:val="ConsPlusCell"/>
        <w:rPr>
          <w:sz w:val="24"/>
          <w:szCs w:val="24"/>
        </w:rPr>
      </w:pPr>
      <w:r>
        <w:separator/>
      </w:r>
    </w:p>
  </w:endnote>
  <w:endnote w:type="continuationSeparator" w:id="0">
    <w:p w:rsidR="00410F8A" w:rsidRPr="0006102C" w:rsidRDefault="00410F8A" w:rsidP="0006102C">
      <w:pPr>
        <w:pStyle w:val="ConsPlusCell"/>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88" w:rsidRDefault="006C2B03">
    <w:pPr>
      <w:pStyle w:val="a7"/>
      <w:jc w:val="right"/>
    </w:pPr>
    <w:r>
      <w:fldChar w:fldCharType="begin"/>
    </w:r>
    <w:r w:rsidR="003C1288">
      <w:instrText xml:space="preserve"> PAGE   \* MERGEFORMAT </w:instrText>
    </w:r>
    <w:r>
      <w:fldChar w:fldCharType="separate"/>
    </w:r>
    <w:r w:rsidR="00F47EB9">
      <w:rPr>
        <w:noProof/>
      </w:rPr>
      <w:t>14</w:t>
    </w:r>
    <w:r>
      <w:fldChar w:fldCharType="end"/>
    </w:r>
  </w:p>
  <w:p w:rsidR="003C1288" w:rsidRDefault="003C12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F8A" w:rsidRPr="0006102C" w:rsidRDefault="00410F8A" w:rsidP="0006102C">
      <w:pPr>
        <w:pStyle w:val="ConsPlusCell"/>
        <w:rPr>
          <w:sz w:val="24"/>
          <w:szCs w:val="24"/>
        </w:rPr>
      </w:pPr>
      <w:r>
        <w:separator/>
      </w:r>
    </w:p>
  </w:footnote>
  <w:footnote w:type="continuationSeparator" w:id="0">
    <w:p w:rsidR="00410F8A" w:rsidRPr="0006102C" w:rsidRDefault="00410F8A" w:rsidP="0006102C">
      <w:pPr>
        <w:pStyle w:val="ConsPlusCell"/>
        <w:rPr>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628E"/>
    <w:rsid w:val="000D6B55"/>
    <w:rsid w:val="000E372F"/>
    <w:rsid w:val="000E47E5"/>
    <w:rsid w:val="000F11F9"/>
    <w:rsid w:val="000F50DC"/>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32F6"/>
    <w:rsid w:val="003201A4"/>
    <w:rsid w:val="003202E1"/>
    <w:rsid w:val="00323195"/>
    <w:rsid w:val="00331212"/>
    <w:rsid w:val="00331896"/>
    <w:rsid w:val="0033328E"/>
    <w:rsid w:val="00334898"/>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5AB1"/>
    <w:rsid w:val="00685E69"/>
    <w:rsid w:val="00687513"/>
    <w:rsid w:val="006909F0"/>
    <w:rsid w:val="00692CF2"/>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32E4F"/>
    <w:rsid w:val="00A34E78"/>
    <w:rsid w:val="00A351FD"/>
    <w:rsid w:val="00A4131C"/>
    <w:rsid w:val="00A41DCC"/>
    <w:rsid w:val="00A47DB1"/>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0D29"/>
    <w:rsid w:val="00C37AD8"/>
    <w:rsid w:val="00C40455"/>
    <w:rsid w:val="00C40502"/>
    <w:rsid w:val="00C4504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rPr>
  </w:style>
  <w:style w:type="character" w:customStyle="1" w:styleId="afe">
    <w:name w:val="Подзаголовок Знак"/>
    <w:basedOn w:val="a0"/>
    <w:link w:val="afd"/>
    <w:rsid w:val="00E808CC"/>
    <w:rPr>
      <w:rFonts w:ascii="Cambria" w:hAnsi="Cambria"/>
      <w:i/>
      <w:iCs/>
      <w:color w:val="4F81BD"/>
      <w:spacing w:val="15"/>
      <w:sz w:val="24"/>
      <w:szCs w:val="24"/>
      <w:lang/>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r="http://schemas.openxmlformats.org/officeDocument/2006/relationships" xmlns:w="http://schemas.openxmlformats.org/wordprocessingml/2006/main">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4CE8-85F4-4FED-B23E-0AA2D2FC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2841</Words>
  <Characters>16198</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4</cp:revision>
  <cp:lastPrinted>2019-01-10T09:54:00Z</cp:lastPrinted>
  <dcterms:created xsi:type="dcterms:W3CDTF">2019-12-03T10:14:00Z</dcterms:created>
  <dcterms:modified xsi:type="dcterms:W3CDTF">2019-12-04T10:06:00Z</dcterms:modified>
</cp:coreProperties>
</file>