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09" w:rsidRPr="00532309" w:rsidRDefault="00532309" w:rsidP="008E1504">
      <w:pPr>
        <w:widowControl w:val="0"/>
        <w:ind w:right="-2"/>
        <w:rPr>
          <w:rFonts w:ascii="Calibri" w:eastAsia="Calibri" w:hAnsi="Calibri"/>
          <w:sz w:val="24"/>
          <w:szCs w:val="24"/>
          <w:lang w:eastAsia="en-US"/>
        </w:rPr>
      </w:pPr>
      <w:r w:rsidRPr="00532309">
        <w:rPr>
          <w:rFonts w:ascii="Calibri" w:eastAsia="Calibri" w:hAnsi="Calibri"/>
          <w:sz w:val="24"/>
          <w:szCs w:val="24"/>
          <w:lang w:eastAsia="en-US"/>
        </w:rPr>
        <w:t xml:space="preserve">     </w:t>
      </w:r>
    </w:p>
    <w:p w:rsidR="00532309" w:rsidRPr="00532309" w:rsidRDefault="00532309" w:rsidP="008E1504">
      <w:pPr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МУНИЦИПАЛЬНОЕ ОБРАЗОВАНИЕ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532309" w:rsidRPr="00532309" w:rsidRDefault="00532309" w:rsidP="008E150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532309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532309" w:rsidRPr="00532309" w:rsidRDefault="00532309" w:rsidP="00532309">
      <w:pPr>
        <w:suppressAutoHyphens/>
        <w:jc w:val="center"/>
        <w:rPr>
          <w:color w:val="000000"/>
          <w:spacing w:val="30"/>
          <w:sz w:val="28"/>
          <w:szCs w:val="28"/>
          <w:lang w:eastAsia="ar-SA"/>
        </w:rPr>
      </w:pPr>
    </w:p>
    <w:p w:rsidR="00532309" w:rsidRPr="00532309" w:rsidRDefault="00532309" w:rsidP="0053230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36"/>
          <w:szCs w:val="36"/>
          <w:lang w:eastAsia="ar-SA"/>
        </w:rPr>
      </w:pPr>
      <w:r w:rsidRPr="00532309">
        <w:rPr>
          <w:sz w:val="36"/>
          <w:szCs w:val="36"/>
          <w:lang w:eastAsia="ar-SA"/>
        </w:rPr>
        <w:t>ПОСТАНОВЛЕНИЕ</w:t>
      </w:r>
    </w:p>
    <w:p w:rsidR="00532309" w:rsidRPr="00532309" w:rsidRDefault="00532309" w:rsidP="00532309">
      <w:pPr>
        <w:suppressAutoHyphens/>
        <w:rPr>
          <w:sz w:val="24"/>
          <w:szCs w:val="24"/>
          <w:lang w:eastAsia="ar-SA"/>
        </w:rPr>
      </w:pPr>
    </w:p>
    <w:p w:rsidR="00532309" w:rsidRDefault="00532309" w:rsidP="007A3AA3">
      <w:pPr>
        <w:suppressAutoHyphens/>
        <w:jc w:val="center"/>
        <w:rPr>
          <w:sz w:val="28"/>
          <w:szCs w:val="28"/>
          <w:lang w:eastAsia="ar-SA"/>
        </w:rPr>
      </w:pPr>
      <w:r w:rsidRPr="00532309">
        <w:rPr>
          <w:sz w:val="28"/>
          <w:szCs w:val="28"/>
          <w:lang w:eastAsia="ar-SA"/>
        </w:rPr>
        <w:t xml:space="preserve">от   </w:t>
      </w:r>
      <w:r w:rsidR="008E1504">
        <w:rPr>
          <w:sz w:val="28"/>
          <w:szCs w:val="28"/>
          <w:lang w:eastAsia="ar-SA"/>
        </w:rPr>
        <w:t>23</w:t>
      </w:r>
      <w:r w:rsidRPr="00532309">
        <w:rPr>
          <w:sz w:val="28"/>
          <w:szCs w:val="28"/>
          <w:lang w:eastAsia="ar-SA"/>
        </w:rPr>
        <w:t xml:space="preserve">.12.2022 </w:t>
      </w:r>
      <w:r w:rsidRPr="00532309">
        <w:rPr>
          <w:sz w:val="28"/>
          <w:szCs w:val="28"/>
          <w:lang w:eastAsia="ar-SA"/>
        </w:rPr>
        <w:sym w:font="Times New Roman" w:char="2116"/>
      </w:r>
      <w:r w:rsidR="007A3AA3">
        <w:rPr>
          <w:sz w:val="28"/>
          <w:szCs w:val="28"/>
          <w:lang w:eastAsia="ar-SA"/>
        </w:rPr>
        <w:t xml:space="preserve"> 379</w:t>
      </w:r>
    </w:p>
    <w:p w:rsidR="007A3AA3" w:rsidRPr="007A3AA3" w:rsidRDefault="007A3AA3" w:rsidP="007A3AA3">
      <w:pPr>
        <w:suppressAutoHyphens/>
        <w:jc w:val="center"/>
        <w:rPr>
          <w:sz w:val="28"/>
          <w:szCs w:val="28"/>
          <w:lang w:eastAsia="ar-SA"/>
        </w:rPr>
      </w:pPr>
    </w:p>
    <w:p w:rsidR="00532309" w:rsidRPr="00532309" w:rsidRDefault="00532309" w:rsidP="00532309">
      <w:pPr>
        <w:suppressAutoHyphens/>
        <w:jc w:val="center"/>
        <w:rPr>
          <w:sz w:val="28"/>
          <w:szCs w:val="28"/>
          <w:lang w:eastAsia="ar-SA"/>
        </w:rPr>
      </w:pPr>
      <w:r w:rsidRPr="00532309">
        <w:rPr>
          <w:sz w:val="28"/>
          <w:szCs w:val="28"/>
          <w:lang w:eastAsia="ar-SA"/>
        </w:rPr>
        <w:t>х. Платово</w:t>
      </w:r>
    </w:p>
    <w:p w:rsidR="00532309" w:rsidRPr="00532309" w:rsidRDefault="00532309" w:rsidP="00532309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532309" w:rsidRPr="00532309" w:rsidRDefault="00532309" w:rsidP="00532309">
      <w:pPr>
        <w:suppressAutoHyphens/>
        <w:ind w:right="-138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532309">
        <w:rPr>
          <w:rFonts w:ascii="Times New Roman CYR" w:hAnsi="Times New Roman CYR" w:cs="Times New Roman CYR"/>
          <w:sz w:val="28"/>
          <w:szCs w:val="28"/>
          <w:lang w:eastAsia="ar-SA"/>
        </w:rPr>
        <w:t>О внесении изменений в постановление Администрации Ковалевского сельского поселения №20 от 22.12.2021</w:t>
      </w:r>
    </w:p>
    <w:p w:rsidR="00532309" w:rsidRPr="00532309" w:rsidRDefault="00532309" w:rsidP="00532309">
      <w:pPr>
        <w:suppressAutoHyphens/>
        <w:ind w:right="-138"/>
        <w:jc w:val="center"/>
        <w:rPr>
          <w:sz w:val="28"/>
          <w:szCs w:val="28"/>
        </w:rPr>
      </w:pPr>
    </w:p>
    <w:p w:rsidR="00532309" w:rsidRPr="00532309" w:rsidRDefault="00532309" w:rsidP="0053230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532309">
        <w:rPr>
          <w:kern w:val="2"/>
          <w:sz w:val="28"/>
          <w:szCs w:val="28"/>
        </w:rPr>
        <w:t xml:space="preserve">В целях приведения правовых актов </w:t>
      </w:r>
      <w:r w:rsidRPr="00532309">
        <w:rPr>
          <w:rFonts w:eastAsia="Calibri"/>
          <w:kern w:val="2"/>
          <w:sz w:val="28"/>
          <w:szCs w:val="28"/>
          <w:lang w:eastAsia="en-US"/>
        </w:rPr>
        <w:t>Администрации Ковалевского сельского поселения в соответствие с действующим законодательством, Администрация Ковалевского сельского поселения, -</w:t>
      </w:r>
    </w:p>
    <w:p w:rsidR="00532309" w:rsidRPr="00532309" w:rsidRDefault="00532309" w:rsidP="00532309">
      <w:pPr>
        <w:spacing w:before="240" w:after="60"/>
        <w:jc w:val="center"/>
        <w:outlineLvl w:val="8"/>
        <w:rPr>
          <w:sz w:val="28"/>
          <w:szCs w:val="28"/>
          <w:lang w:eastAsia="en-US"/>
        </w:rPr>
      </w:pPr>
      <w:r w:rsidRPr="00532309">
        <w:rPr>
          <w:sz w:val="28"/>
          <w:szCs w:val="28"/>
          <w:lang w:eastAsia="en-US"/>
        </w:rPr>
        <w:t>ПОСТАНОВЛЯЕТ:</w:t>
      </w:r>
    </w:p>
    <w:p w:rsidR="00532309" w:rsidRPr="00532309" w:rsidRDefault="00532309" w:rsidP="00532309">
      <w:pPr>
        <w:rPr>
          <w:rFonts w:eastAsia="Calibri"/>
          <w:sz w:val="28"/>
          <w:szCs w:val="28"/>
          <w:lang w:eastAsia="en-US"/>
        </w:rPr>
      </w:pPr>
    </w:p>
    <w:p w:rsidR="00532309" w:rsidRPr="00532309" w:rsidRDefault="00532309" w:rsidP="0053230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 xml:space="preserve">1. Внести изменения в постановление Администрации Красносулинского района от 22.12.2021 № 20 «Об утверждении </w:t>
      </w:r>
      <w:proofErr w:type="gramStart"/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>перечня главных администраторов доходов бюджета Ковалевского сельского поселения</w:t>
      </w:r>
      <w:proofErr w:type="gramEnd"/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 xml:space="preserve"> Красносулинского района и перечня главных администраторов источников финансирования дефицита бюджета Ковалевского сельского поселения Красносулинского района», </w:t>
      </w:r>
      <w:r w:rsidRPr="00532309">
        <w:rPr>
          <w:rFonts w:eastAsia="Calibri"/>
          <w:sz w:val="28"/>
          <w:szCs w:val="28"/>
          <w:lang w:eastAsia="en-US"/>
        </w:rPr>
        <w:t>изменения</w:t>
      </w:r>
      <w:r w:rsidRPr="00532309">
        <w:rPr>
          <w:sz w:val="28"/>
          <w:szCs w:val="28"/>
        </w:rPr>
        <w:t xml:space="preserve"> согласно приложению</w:t>
      </w:r>
      <w:r w:rsidRPr="00532309">
        <w:rPr>
          <w:rFonts w:eastAsia="Calibri"/>
          <w:color w:val="000000"/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532309" w:rsidRPr="00532309" w:rsidRDefault="00532309" w:rsidP="0053230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32309">
        <w:rPr>
          <w:sz w:val="28"/>
          <w:szCs w:val="28"/>
        </w:rPr>
        <w:t>2. Настоящее постановление вступает в силу со дня его подписания.</w:t>
      </w:r>
    </w:p>
    <w:p w:rsidR="00532309" w:rsidRPr="00532309" w:rsidRDefault="00532309" w:rsidP="0053230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32309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proofErr w:type="gramStart"/>
      <w:r w:rsidRPr="00532309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532309">
        <w:rPr>
          <w:rFonts w:eastAsia="Calibri"/>
          <w:color w:val="000000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32309" w:rsidRPr="00532309" w:rsidRDefault="00532309" w:rsidP="0053230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32309" w:rsidRPr="00532309" w:rsidRDefault="00532309" w:rsidP="00532309">
      <w:pPr>
        <w:autoSpaceDE w:val="0"/>
        <w:autoSpaceDN w:val="0"/>
        <w:adjustRightInd w:val="0"/>
        <w:spacing w:line="252" w:lineRule="auto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309" w:rsidRPr="00532309" w:rsidRDefault="00532309" w:rsidP="00532309">
      <w:pPr>
        <w:jc w:val="both"/>
        <w:rPr>
          <w:rFonts w:eastAsia="Calibri"/>
          <w:sz w:val="28"/>
          <w:szCs w:val="28"/>
          <w:lang w:eastAsia="en-US"/>
        </w:rPr>
      </w:pPr>
      <w:r w:rsidRPr="00532309">
        <w:rPr>
          <w:rFonts w:eastAsia="Calibri"/>
          <w:sz w:val="28"/>
          <w:szCs w:val="28"/>
          <w:lang w:eastAsia="en-US"/>
        </w:rPr>
        <w:t xml:space="preserve">Глава Администрации Ковалевского </w:t>
      </w:r>
    </w:p>
    <w:p w:rsidR="00532309" w:rsidRPr="00532309" w:rsidRDefault="00532309" w:rsidP="00532309">
      <w:pPr>
        <w:jc w:val="both"/>
        <w:rPr>
          <w:rFonts w:eastAsia="Calibri"/>
          <w:sz w:val="28"/>
          <w:szCs w:val="28"/>
          <w:lang w:eastAsia="en-US"/>
        </w:rPr>
      </w:pPr>
      <w:r w:rsidRPr="00532309"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          Н.В. Изварин</w:t>
      </w:r>
    </w:p>
    <w:p w:rsidR="00AA65E4" w:rsidRPr="00321572" w:rsidRDefault="00532309" w:rsidP="00AA65E4">
      <w:pPr>
        <w:pageBreakBefore/>
        <w:widowControl w:val="0"/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к постановлению Администрации Ковалевского сельского поселения от</w:t>
      </w:r>
      <w:r w:rsidR="007A3AA3">
        <w:rPr>
          <w:sz w:val="28"/>
        </w:rPr>
        <w:t xml:space="preserve"> 23</w:t>
      </w:r>
      <w:r>
        <w:rPr>
          <w:sz w:val="28"/>
        </w:rPr>
        <w:t>.12.2022 №</w:t>
      </w:r>
      <w:r w:rsidR="007A3AA3">
        <w:rPr>
          <w:sz w:val="28"/>
        </w:rPr>
        <w:t>379</w:t>
      </w:r>
      <w:r>
        <w:rPr>
          <w:sz w:val="28"/>
        </w:rPr>
        <w:t xml:space="preserve">                                      </w:t>
      </w:r>
      <w:r w:rsidR="00AA65E4" w:rsidRPr="00321572">
        <w:rPr>
          <w:sz w:val="28"/>
        </w:rPr>
        <w:t>Приложение</w:t>
      </w:r>
      <w:r w:rsidR="000010B5">
        <w:rPr>
          <w:sz w:val="28"/>
        </w:rPr>
        <w:t xml:space="preserve"> №1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4826E4" w:rsidP="00FA052E">
      <w:pPr>
        <w:widowControl w:val="0"/>
        <w:ind w:left="6237"/>
        <w:jc w:val="center"/>
        <w:rPr>
          <w:sz w:val="28"/>
        </w:rPr>
      </w:pPr>
      <w:r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</w:p>
    <w:p w:rsidR="00AA65E4" w:rsidRPr="00321572" w:rsidRDefault="00B825F8" w:rsidP="00B825F8">
      <w:pPr>
        <w:widowControl w:val="0"/>
        <w:spacing w:line="220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</w:t>
      </w:r>
      <w:r w:rsidR="00F74BEE">
        <w:rPr>
          <w:sz w:val="28"/>
        </w:rPr>
        <w:t>от   22.12.2021 № 20</w:t>
      </w: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доходов бюджета </w:t>
      </w:r>
      <w:r w:rsidR="004826E4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="00432EE6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432EE6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432EE6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9D0394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42528C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42528C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188" w:rsidRPr="009D0394" w:rsidTr="00B122D7">
        <w:tc>
          <w:tcPr>
            <w:tcW w:w="1560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A97188" w:rsidRPr="009D0394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9D0394">
              <w:rPr>
                <w:sz w:val="24"/>
                <w:szCs w:val="24"/>
              </w:rPr>
              <w:t>Федерации</w:t>
            </w:r>
            <w:proofErr w:type="gramEnd"/>
            <w:r w:rsidR="007A3AA3">
              <w:t xml:space="preserve"> </w:t>
            </w:r>
            <w:r w:rsidR="007A3AA3" w:rsidRPr="007A3AA3">
              <w:rPr>
                <w:sz w:val="24"/>
                <w:szCs w:val="24"/>
              </w:rPr>
              <w:t>а также доходов от долевого участия в организации, полученных в виде дивидендов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D0394" w:rsidRPr="009D0394" w:rsidTr="00E40AC0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D0394" w:rsidRPr="009D0394" w:rsidTr="00CC1135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9D0394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20F5F" w:rsidRPr="009D0394" w:rsidTr="00B122D7">
        <w:tc>
          <w:tcPr>
            <w:tcW w:w="1560" w:type="dxa"/>
          </w:tcPr>
          <w:p w:rsidR="00220F5F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220F5F" w:rsidRPr="009D0394" w:rsidRDefault="00220F5F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20F5F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311D" w:rsidRPr="009D0394" w:rsidTr="00B122D7">
        <w:tc>
          <w:tcPr>
            <w:tcW w:w="1560" w:type="dxa"/>
          </w:tcPr>
          <w:p w:rsidR="009B311D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B311D" w:rsidRPr="009D0394" w:rsidRDefault="009B311D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B311D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Администрация  Ковалевского сельского поселения Красносулинского района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реализации иного имущества, </w:t>
            </w:r>
            <w:r w:rsidRPr="009D0394">
              <w:rPr>
                <w:color w:val="000000"/>
                <w:sz w:val="24"/>
                <w:szCs w:val="24"/>
              </w:rPr>
              <w:lastRenderedPageBreak/>
              <w:t>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2F4185" w:rsidRPr="009D0394" w:rsidTr="007015C4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2F4185" w:rsidRDefault="002F4185" w:rsidP="00A4555C">
            <w:pPr>
              <w:snapToGrid w:val="0"/>
              <w:rPr>
                <w:sz w:val="24"/>
                <w:szCs w:val="24"/>
              </w:rPr>
            </w:pPr>
            <w:r w:rsidRPr="002F4185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43" w:type="dxa"/>
          </w:tcPr>
          <w:p w:rsidR="002F4185" w:rsidRPr="002F4185" w:rsidRDefault="002F4185" w:rsidP="00A4555C">
            <w:pPr>
              <w:jc w:val="both"/>
              <w:rPr>
                <w:sz w:val="24"/>
                <w:szCs w:val="24"/>
              </w:rPr>
            </w:pPr>
            <w:proofErr w:type="gramStart"/>
            <w:r w:rsidRPr="002F418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B440A" w:rsidRPr="009D0394" w:rsidTr="00D57A89">
        <w:tc>
          <w:tcPr>
            <w:tcW w:w="1560" w:type="dxa"/>
          </w:tcPr>
          <w:p w:rsidR="00FB440A" w:rsidRPr="009D0394" w:rsidRDefault="00FB440A" w:rsidP="0076070A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FB440A" w:rsidRPr="009D0394" w:rsidRDefault="00FB440A" w:rsidP="0076070A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FB440A" w:rsidRPr="009D0394" w:rsidRDefault="00FB440A" w:rsidP="0076070A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FB440A" w:rsidP="007430E0">
            <w:pPr>
              <w:jc w:val="both"/>
              <w:rPr>
                <w:sz w:val="24"/>
                <w:szCs w:val="24"/>
              </w:rPr>
            </w:pPr>
            <w:r w:rsidRPr="00FB440A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rPr>
                <w:sz w:val="24"/>
                <w:szCs w:val="24"/>
              </w:rPr>
            </w:pPr>
          </w:p>
          <w:p w:rsidR="009D0394" w:rsidRPr="009D0394" w:rsidRDefault="009D0394" w:rsidP="007430E0">
            <w:pPr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2 02 40014 10 0000 150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185" w:rsidRPr="009D0394" w:rsidTr="00CC7342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9D0394" w:rsidRDefault="002F4185" w:rsidP="00A4555C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943" w:type="dxa"/>
          </w:tcPr>
          <w:p w:rsidR="002F4185" w:rsidRPr="009D0394" w:rsidRDefault="002F4185" w:rsidP="00A4555C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2 18 60010 10 0000 150</w:t>
            </w:r>
          </w:p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AA65E4" w:rsidRPr="009D0394" w:rsidRDefault="00AA65E4" w:rsidP="002E1AAA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5323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321572" w:rsidRDefault="00AE5DC5" w:rsidP="00532309">
      <w:pPr>
        <w:pageBreakBefore/>
        <w:widowControl w:val="0"/>
        <w:jc w:val="right"/>
        <w:rPr>
          <w:sz w:val="28"/>
        </w:rPr>
      </w:pPr>
      <w:r w:rsidRPr="00321572">
        <w:rPr>
          <w:sz w:val="28"/>
        </w:rPr>
        <w:lastRenderedPageBreak/>
        <w:t>Приложение</w:t>
      </w:r>
      <w:r>
        <w:rPr>
          <w:sz w:val="28"/>
        </w:rPr>
        <w:t xml:space="preserve"> №2</w:t>
      </w:r>
    </w:p>
    <w:p w:rsidR="00AE5DC5" w:rsidRPr="00321572" w:rsidRDefault="00AE5DC5" w:rsidP="00532309">
      <w:pPr>
        <w:widowControl w:val="0"/>
        <w:ind w:left="6237"/>
        <w:jc w:val="right"/>
        <w:rPr>
          <w:sz w:val="28"/>
        </w:rPr>
      </w:pPr>
      <w:r w:rsidRPr="00321572">
        <w:rPr>
          <w:sz w:val="28"/>
        </w:rPr>
        <w:t>к постановлению</w:t>
      </w:r>
    </w:p>
    <w:p w:rsidR="00AE5DC5" w:rsidRPr="00321572" w:rsidRDefault="00AE5DC5" w:rsidP="00532309">
      <w:pPr>
        <w:widowControl w:val="0"/>
        <w:ind w:left="6237"/>
        <w:jc w:val="right"/>
        <w:rPr>
          <w:sz w:val="28"/>
        </w:rPr>
      </w:pPr>
      <w:r w:rsidRPr="00321572">
        <w:rPr>
          <w:sz w:val="28"/>
        </w:rPr>
        <w:t>Администрации</w:t>
      </w:r>
    </w:p>
    <w:p w:rsidR="00AE5DC5" w:rsidRPr="00321572" w:rsidRDefault="00AE5DC5" w:rsidP="00532309">
      <w:pPr>
        <w:widowControl w:val="0"/>
        <w:ind w:left="6237"/>
        <w:jc w:val="right"/>
        <w:rPr>
          <w:sz w:val="28"/>
        </w:rPr>
      </w:pP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Pr="00321572">
        <w:rPr>
          <w:sz w:val="28"/>
        </w:rPr>
        <w:t xml:space="preserve"> </w:t>
      </w:r>
    </w:p>
    <w:p w:rsidR="00AE5DC5" w:rsidRPr="00D0071A" w:rsidRDefault="00AE5DC5" w:rsidP="00532309">
      <w:pPr>
        <w:jc w:val="right"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             </w:t>
      </w:r>
      <w:r w:rsidRPr="00D0071A">
        <w:rPr>
          <w:noProof/>
          <w:sz w:val="28"/>
        </w:rPr>
        <w:t xml:space="preserve">от   </w:t>
      </w:r>
      <w:r w:rsidR="00F74BEE">
        <w:rPr>
          <w:noProof/>
          <w:sz w:val="28"/>
        </w:rPr>
        <w:t>22</w:t>
      </w:r>
      <w:r>
        <w:rPr>
          <w:noProof/>
          <w:sz w:val="28"/>
        </w:rPr>
        <w:t>.12</w:t>
      </w:r>
      <w:r w:rsidRPr="00D0071A">
        <w:rPr>
          <w:noProof/>
          <w:sz w:val="28"/>
        </w:rPr>
        <w:t>.2021 №</w:t>
      </w:r>
      <w:r w:rsidR="00F74BEE">
        <w:rPr>
          <w:noProof/>
          <w:sz w:val="28"/>
        </w:rPr>
        <w:t>20</w:t>
      </w:r>
      <w:r w:rsidRPr="00D0071A">
        <w:rPr>
          <w:noProof/>
          <w:sz w:val="28"/>
        </w:rPr>
        <w:t xml:space="preserve"> </w:t>
      </w:r>
    </w:p>
    <w:p w:rsidR="00AE5DC5" w:rsidRPr="00321572" w:rsidRDefault="00AE5DC5" w:rsidP="00532309">
      <w:pPr>
        <w:widowControl w:val="0"/>
        <w:spacing w:line="220" w:lineRule="auto"/>
        <w:jc w:val="right"/>
        <w:rPr>
          <w:sz w:val="28"/>
          <w:szCs w:val="28"/>
        </w:rPr>
      </w:pP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  <w:proofErr w:type="gramStart"/>
      <w:r w:rsidRPr="005D627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5D6273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бюджета </w:t>
      </w:r>
      <w:r w:rsidRPr="00D0071A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proofErr w:type="gramEnd"/>
      <w:r>
        <w:rPr>
          <w:sz w:val="28"/>
          <w:szCs w:val="28"/>
        </w:rPr>
        <w:t xml:space="preserve"> Красносулинского района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0010B5" w:rsidRPr="000010B5" w:rsidTr="00C23AF5">
        <w:tc>
          <w:tcPr>
            <w:tcW w:w="4230" w:type="dxa"/>
            <w:gridSpan w:val="2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0010B5">
              <w:rPr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010B5">
              <w:rPr>
                <w:sz w:val="24"/>
                <w:szCs w:val="24"/>
              </w:rPr>
              <w:t>администра</w:t>
            </w:r>
            <w:proofErr w:type="spellEnd"/>
            <w:r w:rsidRPr="000010B5">
              <w:rPr>
                <w:sz w:val="24"/>
                <w:szCs w:val="24"/>
              </w:rPr>
              <w:t>-тора</w:t>
            </w:r>
            <w:proofErr w:type="gramEnd"/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источников финансирования дефицита бюджета поселения</w:t>
            </w:r>
          </w:p>
        </w:tc>
        <w:tc>
          <w:tcPr>
            <w:tcW w:w="5943" w:type="dxa"/>
            <w:vMerge/>
          </w:tcPr>
          <w:p w:rsidR="000010B5" w:rsidRPr="000010B5" w:rsidRDefault="000010B5" w:rsidP="00001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bCs/>
                <w:sz w:val="24"/>
                <w:szCs w:val="24"/>
              </w:rPr>
            </w:pPr>
            <w:r w:rsidRPr="000010B5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bCs/>
                <w:sz w:val="24"/>
                <w:szCs w:val="24"/>
              </w:rPr>
            </w:pPr>
            <w:r w:rsidRPr="000010B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bCs/>
                <w:sz w:val="24"/>
                <w:szCs w:val="24"/>
              </w:rPr>
            </w:pPr>
            <w:r w:rsidRPr="000010B5">
              <w:rPr>
                <w:bCs/>
                <w:sz w:val="24"/>
                <w:szCs w:val="24"/>
              </w:rPr>
              <w:t>Администрации Ковалевского сельского Красносулинского района</w:t>
            </w: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01 03 01 00 10 0000 710</w:t>
            </w:r>
          </w:p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color w:val="00000A"/>
              </w:rPr>
            </w:pPr>
            <w:r w:rsidRPr="000010B5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  <w:r w:rsidRPr="000010B5">
              <w:rPr>
                <w:color w:val="00000A"/>
                <w:sz w:val="24"/>
                <w:szCs w:val="24"/>
              </w:rPr>
              <w:t xml:space="preserve"> </w:t>
            </w:r>
          </w:p>
          <w:p w:rsidR="000010B5" w:rsidRPr="000010B5" w:rsidRDefault="000010B5" w:rsidP="000010B5">
            <w:pPr>
              <w:rPr>
                <w:color w:val="00000A"/>
                <w:sz w:val="24"/>
                <w:szCs w:val="24"/>
              </w:rPr>
            </w:pP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A"/>
                <w:sz w:val="24"/>
                <w:szCs w:val="24"/>
              </w:rPr>
              <w:t>01 03 01 00 10 0000 810</w:t>
            </w:r>
          </w:p>
          <w:p w:rsidR="000010B5" w:rsidRPr="000010B5" w:rsidRDefault="000010B5" w:rsidP="000010B5">
            <w:pPr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color w:val="00000A"/>
                <w:sz w:val="24"/>
                <w:szCs w:val="24"/>
              </w:rPr>
            </w:pPr>
            <w:r w:rsidRPr="000010B5">
              <w:rPr>
                <w:color w:val="000000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  <w:r w:rsidRPr="000010B5">
              <w:rPr>
                <w:color w:val="00000A"/>
                <w:sz w:val="24"/>
                <w:szCs w:val="24"/>
              </w:rPr>
              <w:t xml:space="preserve"> </w:t>
            </w:r>
          </w:p>
          <w:p w:rsidR="000010B5" w:rsidRPr="000010B5" w:rsidRDefault="000010B5" w:rsidP="000010B5">
            <w:pPr>
              <w:rPr>
                <w:color w:val="00000A"/>
                <w:sz w:val="24"/>
                <w:szCs w:val="24"/>
              </w:rPr>
            </w:pP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</w:pPr>
            <w:r w:rsidRPr="000010B5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010B5" w:rsidRPr="000010B5" w:rsidTr="00C23AF5">
        <w:tc>
          <w:tcPr>
            <w:tcW w:w="1560" w:type="dxa"/>
          </w:tcPr>
          <w:p w:rsidR="000010B5" w:rsidRPr="000010B5" w:rsidRDefault="000010B5" w:rsidP="000010B5">
            <w:pPr>
              <w:jc w:val="center"/>
            </w:pPr>
            <w:r w:rsidRPr="000010B5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0010B5" w:rsidRPr="000010B5" w:rsidRDefault="000010B5" w:rsidP="000010B5">
            <w:pPr>
              <w:jc w:val="center"/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43" w:type="dxa"/>
          </w:tcPr>
          <w:p w:rsidR="000010B5" w:rsidRPr="000010B5" w:rsidRDefault="000010B5" w:rsidP="000010B5">
            <w:pPr>
              <w:rPr>
                <w:sz w:val="24"/>
                <w:szCs w:val="24"/>
              </w:rPr>
            </w:pPr>
            <w:r w:rsidRPr="000010B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5DC5" w:rsidRDefault="00AE5DC5" w:rsidP="00AE5DC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0010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Default="00AE5DC5" w:rsidP="00AE5D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Приложение №2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к постановлению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Администрации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 xml:space="preserve">Ковалевского сельского поселения </w:t>
      </w:r>
    </w:p>
    <w:p w:rsidR="00AE5DC5" w:rsidRDefault="00F74BEE" w:rsidP="00AE5DC5">
      <w:pPr>
        <w:widowControl w:val="0"/>
        <w:ind w:left="-142"/>
        <w:jc w:val="right"/>
        <w:rPr>
          <w:sz w:val="28"/>
        </w:rPr>
      </w:pPr>
      <w:r>
        <w:rPr>
          <w:sz w:val="28"/>
        </w:rPr>
        <w:t>от   22</w:t>
      </w:r>
      <w:r w:rsidR="00AE5DC5" w:rsidRPr="00AE5DC5">
        <w:rPr>
          <w:sz w:val="28"/>
        </w:rPr>
        <w:t>.12.2021 №</w:t>
      </w:r>
      <w:r>
        <w:rPr>
          <w:sz w:val="28"/>
        </w:rPr>
        <w:t>20</w:t>
      </w:r>
      <w:r w:rsidR="00AE5DC5" w:rsidRPr="00AE5DC5">
        <w:rPr>
          <w:sz w:val="28"/>
        </w:rPr>
        <w:t xml:space="preserve"> </w:t>
      </w:r>
    </w:p>
    <w:p w:rsidR="00AE5DC5" w:rsidRDefault="00AE5DC5" w:rsidP="00AE5DC5">
      <w:pPr>
        <w:widowControl w:val="0"/>
        <w:ind w:left="-142"/>
        <w:jc w:val="center"/>
        <w:rPr>
          <w:sz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>ПОЛОЖЕНИЕ</w:t>
      </w:r>
    </w:p>
    <w:p w:rsidR="00AE5DC5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 xml:space="preserve">о внесении изменений в Перечень главных </w:t>
      </w:r>
      <w:r w:rsidR="00534F6B" w:rsidRPr="00C90342">
        <w:rPr>
          <w:sz w:val="28"/>
          <w:szCs w:val="28"/>
        </w:rPr>
        <w:t xml:space="preserve">администраторов доходов бюджета Ковалевского сельского поселения Красносулинского района и Перечень главных </w:t>
      </w:r>
      <w:proofErr w:type="gramStart"/>
      <w:r w:rsidR="00534F6B" w:rsidRPr="00C90342">
        <w:rPr>
          <w:sz w:val="28"/>
          <w:szCs w:val="28"/>
        </w:rPr>
        <w:t>администраторов источников финансирования дефицита бюджета Ковалевского сельского поселения</w:t>
      </w:r>
      <w:proofErr w:type="gramEnd"/>
      <w:r w:rsidR="00534F6B" w:rsidRPr="00C90342">
        <w:rPr>
          <w:sz w:val="28"/>
          <w:szCs w:val="28"/>
        </w:rPr>
        <w:t xml:space="preserve"> Красносулинского района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1. Настоящее Положение определяет порядок и сроки внесения изменений в Перечень главных администраторов доходов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Красносулинского района и Перечень главных </w:t>
      </w:r>
      <w:proofErr w:type="gramStart"/>
      <w:r w:rsidRPr="00F57934">
        <w:rPr>
          <w:sz w:val="28"/>
          <w:szCs w:val="28"/>
        </w:rPr>
        <w:t>администраторов источников финансирования дефицита бюджета</w:t>
      </w:r>
      <w:r w:rsidR="00534F6B" w:rsidRPr="00534F6B">
        <w:rPr>
          <w:sz w:val="28"/>
          <w:szCs w:val="28"/>
        </w:rPr>
        <w:t xml:space="preserve"> </w:t>
      </w:r>
      <w:r w:rsidR="00534F6B" w:rsidRPr="00C90342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2. Внесение изменений в Перечень главных администраторов доходов бюджета </w:t>
      </w:r>
      <w:r w:rsidR="00534F6B" w:rsidRPr="00C90342">
        <w:rPr>
          <w:sz w:val="28"/>
          <w:szCs w:val="28"/>
        </w:rPr>
        <w:t>Ковалевского сельского поселения</w:t>
      </w:r>
      <w:r w:rsidR="00534F6B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и Перечень главных </w:t>
      </w:r>
      <w:proofErr w:type="gramStart"/>
      <w:r w:rsidRPr="00F57934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(далее – Перечни) осуществляется в случаях:</w:t>
      </w:r>
    </w:p>
    <w:p w:rsidR="00AE5DC5" w:rsidRPr="00F57934" w:rsidRDefault="00AE5DC5" w:rsidP="00AE5D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</w:t>
      </w:r>
      <w:proofErr w:type="gramStart"/>
      <w:r w:rsidRPr="00F57934">
        <w:rPr>
          <w:sz w:val="28"/>
          <w:szCs w:val="28"/>
        </w:rPr>
        <w:t xml:space="preserve">состава главных администраторов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главных администраторов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а также изменения наименования главного администратора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главного администратора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F57934">
        <w:rPr>
          <w:sz w:val="28"/>
          <w:szCs w:val="28"/>
        </w:rPr>
        <w:t xml:space="preserve">доходов кодов классификации доходов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proofErr w:type="gramEnd"/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закрепленных за главными администраторами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кодов источников финансирования дефицита бюджета </w:t>
      </w:r>
      <w:r w:rsidR="00C82E78" w:rsidRPr="00C90342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F57934">
        <w:rPr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F57934">
        <w:rPr>
          <w:sz w:val="28"/>
          <w:szCs w:val="28"/>
        </w:rPr>
        <w:t xml:space="preserve"> в текущем финансовом году.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lastRenderedPageBreak/>
        <w:t xml:space="preserve">3. В случаях внесения изменений в Перечни, указанных в абзаце втором пункта 2 настоящего Положения, </w:t>
      </w:r>
      <w:r w:rsidR="00C82E78">
        <w:rPr>
          <w:sz w:val="28"/>
          <w:szCs w:val="28"/>
        </w:rPr>
        <w:t>Сектором экономики и финансов подготавливается</w:t>
      </w:r>
      <w:r w:rsidRPr="00F57934">
        <w:rPr>
          <w:sz w:val="28"/>
          <w:szCs w:val="28"/>
        </w:rPr>
        <w:t xml:space="preserve"> постановление Администрации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о внесении изменений в настоящее постановление </w:t>
      </w:r>
      <w:r w:rsidRPr="00086E6F">
        <w:rPr>
          <w:sz w:val="28"/>
          <w:szCs w:val="28"/>
        </w:rPr>
        <w:t xml:space="preserve">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 в порядке, определенном Регламентом Администрации </w:t>
      </w:r>
      <w:r w:rsidR="00C82E78">
        <w:rPr>
          <w:sz w:val="28"/>
          <w:szCs w:val="28"/>
        </w:rPr>
        <w:t>Ковалевского сельского поселения</w:t>
      </w:r>
      <w:r w:rsidRPr="00F57934">
        <w:rPr>
          <w:sz w:val="28"/>
          <w:szCs w:val="28"/>
        </w:rPr>
        <w:t xml:space="preserve">. </w:t>
      </w:r>
    </w:p>
    <w:p w:rsidR="00AE5DC5" w:rsidRPr="00F57934" w:rsidRDefault="00AE5DC5" w:rsidP="00AE5DC5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4. В случаях, указанных в абзаце третьем и четвертом пункта 2 настоящего Положения, </w:t>
      </w:r>
      <w:r w:rsidR="00C82E78">
        <w:rPr>
          <w:sz w:val="28"/>
          <w:szCs w:val="28"/>
        </w:rPr>
        <w:t>Сектором экономики и финансов</w:t>
      </w:r>
      <w:r w:rsidRPr="00F57934">
        <w:rPr>
          <w:sz w:val="28"/>
          <w:szCs w:val="28"/>
        </w:rPr>
        <w:t xml:space="preserve"> подготавливается правовой акт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 xml:space="preserve"> об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В целях внесения изменений в Перечни главные администраторы доходов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Ковалевского сельского поселения </w:t>
      </w:r>
      <w:r w:rsidRPr="00F57934">
        <w:rPr>
          <w:sz w:val="28"/>
          <w:szCs w:val="28"/>
        </w:rPr>
        <w:t xml:space="preserve"> Красносулинского района, главные администраторы </w:t>
      </w:r>
      <w:proofErr w:type="gramStart"/>
      <w:r w:rsidRPr="00F57934">
        <w:rPr>
          <w:sz w:val="28"/>
          <w:szCs w:val="28"/>
        </w:rPr>
        <w:t>источников финансирования дефицита бюджета</w:t>
      </w:r>
      <w:r w:rsidR="00C82E78" w:rsidRPr="00C82E78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proofErr w:type="gramEnd"/>
      <w:r w:rsidRPr="00F57934">
        <w:rPr>
          <w:sz w:val="28"/>
          <w:szCs w:val="28"/>
        </w:rPr>
        <w:t xml:space="preserve"> Красносулинского района направляют мотивированное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 необходимости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7934">
        <w:rPr>
          <w:sz w:val="28"/>
          <w:szCs w:val="28"/>
        </w:rPr>
        <w:t xml:space="preserve">В случае наличия нормативного правового акта, подтверждающего необходимость внесения изменений в Перечни,  главные администраторы доходов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главные администраторы источников финансирования дефицита бюджета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направляют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об актуализации Перечней  в течение 14 календарных дней со дня вступления в силу соответствующего нормативного правового акта.</w:t>
      </w:r>
      <w:proofErr w:type="gramEnd"/>
    </w:p>
    <w:p w:rsidR="00AE5DC5" w:rsidRPr="00F57934" w:rsidRDefault="00C82E78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 экономики и финансов</w:t>
      </w:r>
      <w:r w:rsidR="00AE5DC5" w:rsidRPr="00F57934">
        <w:rPr>
          <w:sz w:val="28"/>
          <w:szCs w:val="28"/>
        </w:rPr>
        <w:t xml:space="preserve"> не позднее 30 рабочих дней со дня получения обращения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 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>
        <w:rPr>
          <w:sz w:val="28"/>
          <w:szCs w:val="28"/>
        </w:rPr>
        <w:t xml:space="preserve"> 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</w:t>
      </w:r>
      <w:proofErr w:type="gramEnd"/>
      <w:r w:rsidR="00AE5DC5" w:rsidRPr="00F57934">
        <w:rPr>
          <w:sz w:val="28"/>
          <w:szCs w:val="28"/>
        </w:rPr>
        <w:t xml:space="preserve"> бюджета</w:t>
      </w:r>
      <w:r w:rsidRPr="00C82E78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5. </w:t>
      </w:r>
      <w:proofErr w:type="gramStart"/>
      <w:r w:rsidRPr="00F57934">
        <w:rPr>
          <w:sz w:val="28"/>
          <w:szCs w:val="28"/>
        </w:rPr>
        <w:t xml:space="preserve">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C82E78">
        <w:rPr>
          <w:sz w:val="28"/>
          <w:szCs w:val="28"/>
        </w:rPr>
        <w:t>Администрации Ковалевского сельского поселения</w:t>
      </w:r>
      <w:r w:rsidRPr="00F57934"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Pr="00F57934">
        <w:t xml:space="preserve"> </w:t>
      </w:r>
      <w:r w:rsidR="00C82E78">
        <w:rPr>
          <w:sz w:val="28"/>
          <w:szCs w:val="28"/>
        </w:rPr>
        <w:t>Ковалевского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на очередной финансовый год и плановый период,  осуществляется не реже одного раза в год и не позднее 31 декабря текущего года в</w:t>
      </w:r>
      <w:proofErr w:type="gramEnd"/>
      <w:r w:rsidRPr="00F57934">
        <w:rPr>
          <w:sz w:val="28"/>
          <w:szCs w:val="28"/>
        </w:rPr>
        <w:t xml:space="preserve"> </w:t>
      </w:r>
      <w:proofErr w:type="gramStart"/>
      <w:r w:rsidRPr="00F57934">
        <w:rPr>
          <w:sz w:val="28"/>
          <w:szCs w:val="28"/>
        </w:rPr>
        <w:t>порядке</w:t>
      </w:r>
      <w:proofErr w:type="gramEnd"/>
      <w:r w:rsidRPr="00F57934">
        <w:rPr>
          <w:sz w:val="28"/>
          <w:szCs w:val="28"/>
        </w:rPr>
        <w:t>, определенном Регламентом Администрации</w:t>
      </w:r>
      <w:r w:rsidR="00C82E78">
        <w:rPr>
          <w:sz w:val="28"/>
          <w:szCs w:val="28"/>
        </w:rPr>
        <w:t xml:space="preserve"> Ковалевского сельского поселения</w:t>
      </w:r>
      <w:r w:rsidRPr="00F57934">
        <w:rPr>
          <w:sz w:val="28"/>
          <w:szCs w:val="28"/>
        </w:rPr>
        <w:t>.</w:t>
      </w:r>
    </w:p>
    <w:p w:rsidR="00AE5DC5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7C1F63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AE5DC5" w:rsidRPr="007C1F63" w:rsidSect="00F3436C">
      <w:pgSz w:w="11907" w:h="16840" w:code="9"/>
      <w:pgMar w:top="709" w:right="567" w:bottom="141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2E" w:rsidRDefault="0042522E">
      <w:r>
        <w:separator/>
      </w:r>
    </w:p>
  </w:endnote>
  <w:endnote w:type="continuationSeparator" w:id="0">
    <w:p w:rsidR="0042522E" w:rsidRDefault="004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2E" w:rsidRDefault="0042522E">
      <w:r>
        <w:separator/>
      </w:r>
    </w:p>
  </w:footnote>
  <w:footnote w:type="continuationSeparator" w:id="0">
    <w:p w:rsidR="0042522E" w:rsidRDefault="0042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10B5"/>
    <w:rsid w:val="000021E0"/>
    <w:rsid w:val="00025A42"/>
    <w:rsid w:val="00027DFD"/>
    <w:rsid w:val="000365BC"/>
    <w:rsid w:val="00050C68"/>
    <w:rsid w:val="0005372C"/>
    <w:rsid w:val="00054D8B"/>
    <w:rsid w:val="000559D5"/>
    <w:rsid w:val="0005610C"/>
    <w:rsid w:val="00060F3C"/>
    <w:rsid w:val="00077AE1"/>
    <w:rsid w:val="000808D6"/>
    <w:rsid w:val="00092560"/>
    <w:rsid w:val="000A0486"/>
    <w:rsid w:val="000A4E9A"/>
    <w:rsid w:val="000A726F"/>
    <w:rsid w:val="000B4002"/>
    <w:rsid w:val="000B66C7"/>
    <w:rsid w:val="000C430D"/>
    <w:rsid w:val="000D1810"/>
    <w:rsid w:val="000D1FC5"/>
    <w:rsid w:val="000D2E98"/>
    <w:rsid w:val="000E2C6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B2D1C"/>
    <w:rsid w:val="001C1D98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5874"/>
    <w:rsid w:val="0027651D"/>
    <w:rsid w:val="0028703B"/>
    <w:rsid w:val="0029013A"/>
    <w:rsid w:val="002A2062"/>
    <w:rsid w:val="002A31A1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418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73C19"/>
    <w:rsid w:val="00386E8A"/>
    <w:rsid w:val="003921D8"/>
    <w:rsid w:val="003A14E3"/>
    <w:rsid w:val="003A4E4C"/>
    <w:rsid w:val="003B2193"/>
    <w:rsid w:val="003C03F2"/>
    <w:rsid w:val="003C554A"/>
    <w:rsid w:val="003D25DC"/>
    <w:rsid w:val="003F27D4"/>
    <w:rsid w:val="00407B71"/>
    <w:rsid w:val="00410F21"/>
    <w:rsid w:val="004221CC"/>
    <w:rsid w:val="00424F92"/>
    <w:rsid w:val="00425061"/>
    <w:rsid w:val="0042522E"/>
    <w:rsid w:val="0042528C"/>
    <w:rsid w:val="00432EE6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26E4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7011"/>
    <w:rsid w:val="00515D9C"/>
    <w:rsid w:val="00531FBD"/>
    <w:rsid w:val="00532309"/>
    <w:rsid w:val="0053366A"/>
    <w:rsid w:val="00534F6B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35125"/>
    <w:rsid w:val="0063653B"/>
    <w:rsid w:val="00642063"/>
    <w:rsid w:val="006564DB"/>
    <w:rsid w:val="00656EE9"/>
    <w:rsid w:val="00657445"/>
    <w:rsid w:val="00660EE3"/>
    <w:rsid w:val="00664FD6"/>
    <w:rsid w:val="00676B57"/>
    <w:rsid w:val="00682478"/>
    <w:rsid w:val="006A1EFF"/>
    <w:rsid w:val="006A2531"/>
    <w:rsid w:val="006B7A21"/>
    <w:rsid w:val="006C0F85"/>
    <w:rsid w:val="006C1D74"/>
    <w:rsid w:val="006F1B32"/>
    <w:rsid w:val="007003B8"/>
    <w:rsid w:val="00710229"/>
    <w:rsid w:val="007120F8"/>
    <w:rsid w:val="007136B1"/>
    <w:rsid w:val="007219F0"/>
    <w:rsid w:val="00724504"/>
    <w:rsid w:val="0074183E"/>
    <w:rsid w:val="00742E6D"/>
    <w:rsid w:val="0076456B"/>
    <w:rsid w:val="007730B1"/>
    <w:rsid w:val="00777A92"/>
    <w:rsid w:val="00777CD6"/>
    <w:rsid w:val="00782222"/>
    <w:rsid w:val="00783F70"/>
    <w:rsid w:val="00791BB3"/>
    <w:rsid w:val="007936ED"/>
    <w:rsid w:val="007A3AA3"/>
    <w:rsid w:val="007A769B"/>
    <w:rsid w:val="007B302E"/>
    <w:rsid w:val="007B6388"/>
    <w:rsid w:val="007C0A5F"/>
    <w:rsid w:val="007C1F63"/>
    <w:rsid w:val="007C2F99"/>
    <w:rsid w:val="007F302F"/>
    <w:rsid w:val="007F7CD6"/>
    <w:rsid w:val="00803F3C"/>
    <w:rsid w:val="00804CFE"/>
    <w:rsid w:val="00811C94"/>
    <w:rsid w:val="00811CF1"/>
    <w:rsid w:val="008247FE"/>
    <w:rsid w:val="00837EA6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1E45"/>
    <w:rsid w:val="008B6AD3"/>
    <w:rsid w:val="008D31FB"/>
    <w:rsid w:val="008D5B4B"/>
    <w:rsid w:val="008E1504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B311D"/>
    <w:rsid w:val="009D0394"/>
    <w:rsid w:val="009D6CD5"/>
    <w:rsid w:val="009E7800"/>
    <w:rsid w:val="00A03DFB"/>
    <w:rsid w:val="00A05B6C"/>
    <w:rsid w:val="00A061D7"/>
    <w:rsid w:val="00A21ED9"/>
    <w:rsid w:val="00A30E81"/>
    <w:rsid w:val="00A34804"/>
    <w:rsid w:val="00A42713"/>
    <w:rsid w:val="00A4437E"/>
    <w:rsid w:val="00A546CE"/>
    <w:rsid w:val="00A63AB9"/>
    <w:rsid w:val="00A67B50"/>
    <w:rsid w:val="00A908DD"/>
    <w:rsid w:val="00A941CF"/>
    <w:rsid w:val="00A97188"/>
    <w:rsid w:val="00AA65E4"/>
    <w:rsid w:val="00AB1ACA"/>
    <w:rsid w:val="00AC3863"/>
    <w:rsid w:val="00AD099E"/>
    <w:rsid w:val="00AE1D91"/>
    <w:rsid w:val="00AE2601"/>
    <w:rsid w:val="00AE5DC5"/>
    <w:rsid w:val="00B02C23"/>
    <w:rsid w:val="00B122D7"/>
    <w:rsid w:val="00B14F98"/>
    <w:rsid w:val="00B22F6A"/>
    <w:rsid w:val="00B31114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825F8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82E78"/>
    <w:rsid w:val="00C90342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2B25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DF4F9B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40AD"/>
    <w:rsid w:val="00ED696C"/>
    <w:rsid w:val="00ED72D3"/>
    <w:rsid w:val="00EF29AB"/>
    <w:rsid w:val="00EF2E7B"/>
    <w:rsid w:val="00EF4117"/>
    <w:rsid w:val="00EF4D42"/>
    <w:rsid w:val="00EF56AF"/>
    <w:rsid w:val="00F02C40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74BEE"/>
    <w:rsid w:val="00F8225E"/>
    <w:rsid w:val="00F86418"/>
    <w:rsid w:val="00F86F67"/>
    <w:rsid w:val="00F9297B"/>
    <w:rsid w:val="00F931CD"/>
    <w:rsid w:val="00F93805"/>
    <w:rsid w:val="00FA052E"/>
    <w:rsid w:val="00FA6611"/>
    <w:rsid w:val="00FB3810"/>
    <w:rsid w:val="00FB440A"/>
    <w:rsid w:val="00FD350A"/>
    <w:rsid w:val="00FE0CA9"/>
    <w:rsid w:val="00FE3357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C56C2-4A3F-4871-88B6-E79441B9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3</cp:revision>
  <cp:lastPrinted>2023-11-29T06:11:00Z</cp:lastPrinted>
  <dcterms:created xsi:type="dcterms:W3CDTF">2022-12-23T06:06:00Z</dcterms:created>
  <dcterms:modified xsi:type="dcterms:W3CDTF">2023-11-29T06:40:00Z</dcterms:modified>
</cp:coreProperties>
</file>