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183E90">
        <w:rPr>
          <w:rFonts w:ascii="Times New Roman" w:eastAsia="Calibri" w:hAnsi="Times New Roman" w:cs="Times New Roman"/>
          <w:sz w:val="24"/>
          <w:szCs w:val="28"/>
        </w:rPr>
        <w:t>Протокол № 2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00F25" w:rsidRPr="00C062B8" w:rsidRDefault="000D1BF9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 0</w:t>
      </w:r>
      <w:r w:rsidRPr="000D1BF9">
        <w:rPr>
          <w:rFonts w:ascii="Times New Roman" w:eastAsia="Calibri" w:hAnsi="Times New Roman" w:cs="Times New Roman"/>
          <w:sz w:val="24"/>
          <w:szCs w:val="28"/>
        </w:rPr>
        <w:t>6</w:t>
      </w:r>
      <w:r w:rsidR="00183E90">
        <w:rPr>
          <w:rFonts w:ascii="Times New Roman" w:eastAsia="Calibri" w:hAnsi="Times New Roman" w:cs="Times New Roman"/>
          <w:sz w:val="24"/>
          <w:szCs w:val="28"/>
        </w:rPr>
        <w:t>.07</w:t>
      </w:r>
      <w:r>
        <w:rPr>
          <w:rFonts w:ascii="Times New Roman" w:eastAsia="Calibri" w:hAnsi="Times New Roman" w:cs="Times New Roman"/>
          <w:sz w:val="24"/>
          <w:szCs w:val="28"/>
        </w:rPr>
        <w:t>.201</w:t>
      </w:r>
      <w:r w:rsidRPr="000D1BF9">
        <w:rPr>
          <w:rFonts w:ascii="Times New Roman" w:eastAsia="Calibri" w:hAnsi="Times New Roman" w:cs="Times New Roman"/>
          <w:sz w:val="24"/>
          <w:szCs w:val="28"/>
        </w:rPr>
        <w:t>4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Марчук В. М.</w:t>
      </w:r>
    </w:p>
    <w:p w:rsidR="00800F25" w:rsidRPr="000D1BF9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Члены комиссии: начальник сектора эко</w:t>
      </w:r>
      <w:r w:rsidR="00FC4664">
        <w:rPr>
          <w:rFonts w:ascii="Times New Roman" w:eastAsia="Calibri" w:hAnsi="Times New Roman" w:cs="Times New Roman"/>
          <w:sz w:val="24"/>
          <w:szCs w:val="24"/>
        </w:rPr>
        <w:t>номик</w:t>
      </w:r>
      <w:r w:rsidR="000D1BF9">
        <w:rPr>
          <w:rFonts w:ascii="Times New Roman" w:eastAsia="Calibri" w:hAnsi="Times New Roman" w:cs="Times New Roman"/>
          <w:sz w:val="24"/>
          <w:szCs w:val="24"/>
        </w:rPr>
        <w:t>и и финансов –  Конюхова С.А.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</w:t>
      </w:r>
      <w:r w:rsidR="000D1BF9">
        <w:rPr>
          <w:rFonts w:ascii="Times New Roman" w:eastAsia="Calibri" w:hAnsi="Times New Roman" w:cs="Times New Roman"/>
          <w:sz w:val="24"/>
          <w:szCs w:val="24"/>
        </w:rPr>
        <w:t>номики и финансов  Каширина Т.С.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шали: директора </w:t>
      </w:r>
      <w:r w:rsidR="000D1BF9">
        <w:rPr>
          <w:rFonts w:ascii="Times New Roman" w:eastAsia="Calibri" w:hAnsi="Times New Roman" w:cs="Times New Roman"/>
          <w:sz w:val="24"/>
          <w:szCs w:val="24"/>
        </w:rPr>
        <w:t>МБУК КСР «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0D1BF9">
        <w:rPr>
          <w:rFonts w:ascii="Times New Roman" w:eastAsia="Calibri" w:hAnsi="Times New Roman" w:cs="Times New Roman"/>
          <w:sz w:val="24"/>
          <w:szCs w:val="24"/>
        </w:rPr>
        <w:t>Решетняк</w:t>
      </w:r>
      <w:proofErr w:type="spellEnd"/>
      <w:r w:rsidR="000D1BF9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183E90">
        <w:rPr>
          <w:rFonts w:ascii="Times New Roman" w:eastAsia="Calibri" w:hAnsi="Times New Roman" w:cs="Times New Roman"/>
          <w:sz w:val="24"/>
          <w:szCs w:val="24"/>
        </w:rPr>
        <w:t>за 1 полугодие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2014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183E90">
        <w:rPr>
          <w:rFonts w:ascii="Times New Roman" w:eastAsia="Calibri" w:hAnsi="Times New Roman" w:cs="Times New Roman"/>
          <w:sz w:val="24"/>
          <w:szCs w:val="24"/>
        </w:rPr>
        <w:t>пального задания за 1  полугодие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2014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                          Марчук В. М.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Члены комиссии: начальник сектора экономики и финансов                  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Конюхова С.А.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Специалист сектора экономики и финансов </w:t>
      </w:r>
      <w:r w:rsidR="000D1BF9">
        <w:rPr>
          <w:rFonts w:ascii="Times New Roman" w:eastAsia="Calibri" w:hAnsi="Times New Roman" w:cs="Times New Roman"/>
          <w:sz w:val="24"/>
          <w:szCs w:val="24"/>
        </w:rPr>
        <w:t xml:space="preserve">                  Каширина Т.С.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</w:t>
            </w:r>
            <w:r w:rsidR="00183E9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полугодие </w:t>
            </w:r>
            <w:r w:rsidR="00FE70A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6D4BBE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6D4BBE" w:rsidRDefault="006D4BBE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14359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3A7E99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</w:t>
            </w:r>
            <w:r w:rsidR="003A7E9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A7E9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полугодие</w:t>
            </w:r>
            <w:r w:rsidR="003A7E9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3A7E99" w:rsidRPr="003A7E99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3A7E99" w:rsidRDefault="003A7E99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0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полугодие</w:t>
            </w:r>
            <w:r w:rsid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967F12" w:rsidRP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полугодие</w:t>
            </w:r>
            <w:r w:rsid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</w:t>
            </w:r>
            <w:r w:rsidR="00967F12" w:rsidRPr="00967F12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228042,00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264923,55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967F12" w:rsidRDefault="006D4BBE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116</w:t>
            </w:r>
            <w:r w:rsidR="00967F1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967F1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0D1BF9"/>
    <w:rsid w:val="00130130"/>
    <w:rsid w:val="00183E90"/>
    <w:rsid w:val="003A7E99"/>
    <w:rsid w:val="006D4BBE"/>
    <w:rsid w:val="00800F25"/>
    <w:rsid w:val="00967F12"/>
    <w:rsid w:val="00C062B8"/>
    <w:rsid w:val="00F86B20"/>
    <w:rsid w:val="00FC4664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99E0-92F7-4549-BF70-0BDE0400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2013-11-27T08:30:00Z</cp:lastPrinted>
  <dcterms:created xsi:type="dcterms:W3CDTF">2013-11-27T09:37:00Z</dcterms:created>
  <dcterms:modified xsi:type="dcterms:W3CDTF">2014-07-01T06:28:00Z</dcterms:modified>
</cp:coreProperties>
</file>