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01" w:rsidRPr="00356D7F" w:rsidRDefault="00DF2C01" w:rsidP="001C4988">
      <w:pPr>
        <w:spacing w:line="240" w:lineRule="auto"/>
        <w:jc w:val="center"/>
        <w:rPr>
          <w:rFonts w:ascii="Times New Roman" w:hAnsi="Times New Roman"/>
          <w:sz w:val="24"/>
          <w:szCs w:val="24"/>
          <w:lang w:eastAsia="ru-RU"/>
        </w:rPr>
      </w:pPr>
      <w:r w:rsidRPr="00356D7F">
        <w:rPr>
          <w:rFonts w:ascii="Times New Roman" w:hAnsi="Times New Roman"/>
          <w:b/>
          <w:sz w:val="28"/>
          <w:szCs w:val="28"/>
        </w:rPr>
        <w:t>О налоговых вычетах и сер</w:t>
      </w:r>
      <w:r w:rsidR="0064311E">
        <w:rPr>
          <w:rFonts w:ascii="Times New Roman" w:hAnsi="Times New Roman"/>
          <w:b/>
          <w:sz w:val="28"/>
          <w:szCs w:val="28"/>
        </w:rPr>
        <w:t>ой</w:t>
      </w:r>
      <w:r w:rsidRPr="00356D7F">
        <w:rPr>
          <w:rFonts w:ascii="Times New Roman" w:hAnsi="Times New Roman"/>
          <w:b/>
          <w:sz w:val="28"/>
          <w:szCs w:val="28"/>
        </w:rPr>
        <w:t xml:space="preserve"> заработн</w:t>
      </w:r>
      <w:r w:rsidR="0064311E">
        <w:rPr>
          <w:rFonts w:ascii="Times New Roman" w:hAnsi="Times New Roman"/>
          <w:b/>
          <w:sz w:val="28"/>
          <w:szCs w:val="28"/>
        </w:rPr>
        <w:t>ой</w:t>
      </w:r>
      <w:r w:rsidRPr="00356D7F">
        <w:rPr>
          <w:rFonts w:ascii="Times New Roman" w:hAnsi="Times New Roman"/>
          <w:b/>
          <w:sz w:val="28"/>
          <w:szCs w:val="28"/>
        </w:rPr>
        <w:t xml:space="preserve"> плат</w:t>
      </w:r>
      <w:r w:rsidR="0064311E">
        <w:rPr>
          <w:rFonts w:ascii="Times New Roman" w:hAnsi="Times New Roman"/>
          <w:b/>
          <w:sz w:val="28"/>
          <w:szCs w:val="28"/>
        </w:rPr>
        <w:t>е</w:t>
      </w:r>
    </w:p>
    <w:p w:rsidR="00DF2C01" w:rsidRPr="00356D7F" w:rsidRDefault="0078580A" w:rsidP="001C4988">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С</w:t>
      </w:r>
      <w:r w:rsidR="00DF2C01" w:rsidRPr="00356D7F">
        <w:rPr>
          <w:rFonts w:ascii="Times New Roman" w:hAnsi="Times New Roman"/>
          <w:sz w:val="28"/>
          <w:szCs w:val="28"/>
        </w:rPr>
        <w:t xml:space="preserve"> каждым годом </w:t>
      </w:r>
      <w:r>
        <w:rPr>
          <w:rFonts w:ascii="Times New Roman" w:hAnsi="Times New Roman"/>
          <w:sz w:val="28"/>
          <w:szCs w:val="28"/>
        </w:rPr>
        <w:t xml:space="preserve">в Ростовской области </w:t>
      </w:r>
      <w:r w:rsidR="00DF2C01" w:rsidRPr="00356D7F">
        <w:rPr>
          <w:rFonts w:ascii="Times New Roman" w:hAnsi="Times New Roman"/>
          <w:sz w:val="28"/>
          <w:szCs w:val="28"/>
        </w:rPr>
        <w:t xml:space="preserve">число тех, кто </w:t>
      </w:r>
      <w:r>
        <w:rPr>
          <w:rFonts w:ascii="Times New Roman" w:hAnsi="Times New Roman"/>
          <w:sz w:val="28"/>
          <w:szCs w:val="28"/>
        </w:rPr>
        <w:t>подает декларации</w:t>
      </w:r>
      <w:r w:rsidR="00DF2C01" w:rsidRPr="00356D7F">
        <w:rPr>
          <w:rFonts w:ascii="Times New Roman" w:hAnsi="Times New Roman"/>
          <w:sz w:val="28"/>
          <w:szCs w:val="28"/>
        </w:rPr>
        <w:t xml:space="preserve"> на вычет, растет. Так, в 2021-м году 109 тысяч налогоплательщиков подали декларации для получения выче</w:t>
      </w:r>
      <w:r w:rsidR="00762275">
        <w:rPr>
          <w:rFonts w:ascii="Times New Roman" w:hAnsi="Times New Roman"/>
          <w:sz w:val="28"/>
          <w:szCs w:val="28"/>
        </w:rPr>
        <w:t>тов на общую сумму более 4,5 млрд</w:t>
      </w:r>
      <w:r w:rsidR="008B51DE" w:rsidRPr="008B51DE">
        <w:rPr>
          <w:rFonts w:ascii="Times New Roman" w:hAnsi="Times New Roman"/>
          <w:sz w:val="28"/>
          <w:szCs w:val="28"/>
        </w:rPr>
        <w:t>.</w:t>
      </w:r>
      <w:r w:rsidR="004B0E9D">
        <w:rPr>
          <w:rFonts w:ascii="Times New Roman" w:hAnsi="Times New Roman"/>
          <w:sz w:val="28"/>
          <w:szCs w:val="28"/>
        </w:rPr>
        <w:t xml:space="preserve"> </w:t>
      </w:r>
      <w:r w:rsidR="00DF2C01" w:rsidRPr="00356D7F">
        <w:rPr>
          <w:rFonts w:ascii="Times New Roman" w:hAnsi="Times New Roman"/>
          <w:sz w:val="28"/>
          <w:szCs w:val="28"/>
        </w:rPr>
        <w:t xml:space="preserve"> руб.,</w:t>
      </w:r>
      <w:r w:rsidR="009B7C8C" w:rsidRPr="009B7C8C">
        <w:rPr>
          <w:rFonts w:ascii="Times New Roman" w:hAnsi="Times New Roman"/>
          <w:sz w:val="28"/>
          <w:szCs w:val="28"/>
        </w:rPr>
        <w:t xml:space="preserve"> </w:t>
      </w:r>
      <w:r w:rsidR="00DF2C01" w:rsidRPr="00356D7F">
        <w:rPr>
          <w:rFonts w:ascii="Times New Roman" w:hAnsi="Times New Roman"/>
          <w:sz w:val="28"/>
          <w:szCs w:val="28"/>
        </w:rPr>
        <w:t xml:space="preserve"> а</w:t>
      </w:r>
      <w:r w:rsidR="00B606E8">
        <w:rPr>
          <w:rFonts w:ascii="Times New Roman" w:hAnsi="Times New Roman"/>
          <w:sz w:val="28"/>
          <w:szCs w:val="28"/>
        </w:rPr>
        <w:t xml:space="preserve"> в 2022-м было подано уже 138</w:t>
      </w:r>
      <w:r w:rsidR="00DF2C01" w:rsidRPr="00356D7F">
        <w:rPr>
          <w:rFonts w:ascii="Times New Roman" w:hAnsi="Times New Roman"/>
          <w:sz w:val="28"/>
          <w:szCs w:val="28"/>
        </w:rPr>
        <w:t xml:space="preserve"> тысяч деклараций на общую сумму более 5,</w:t>
      </w:r>
      <w:r w:rsidR="00B606E8">
        <w:rPr>
          <w:rFonts w:ascii="Times New Roman" w:hAnsi="Times New Roman"/>
          <w:sz w:val="28"/>
          <w:szCs w:val="28"/>
        </w:rPr>
        <w:t>9</w:t>
      </w:r>
      <w:r w:rsidR="00762275">
        <w:rPr>
          <w:rFonts w:ascii="Times New Roman" w:hAnsi="Times New Roman"/>
          <w:sz w:val="28"/>
          <w:szCs w:val="28"/>
        </w:rPr>
        <w:t xml:space="preserve"> млрд</w:t>
      </w:r>
      <w:r w:rsidR="008B51DE" w:rsidRPr="008B51DE">
        <w:rPr>
          <w:rFonts w:ascii="Times New Roman" w:hAnsi="Times New Roman"/>
          <w:sz w:val="28"/>
          <w:szCs w:val="28"/>
        </w:rPr>
        <w:t>.</w:t>
      </w:r>
      <w:r w:rsidR="00DF2C01" w:rsidRPr="00356D7F">
        <w:rPr>
          <w:rFonts w:ascii="Times New Roman" w:hAnsi="Times New Roman"/>
          <w:sz w:val="28"/>
          <w:szCs w:val="28"/>
        </w:rPr>
        <w:t xml:space="preserve"> руб.</w:t>
      </w:r>
    </w:p>
    <w:p w:rsidR="00DF2C01" w:rsidRPr="00356D7F" w:rsidRDefault="00DF2C01" w:rsidP="001C4988">
      <w:pPr>
        <w:autoSpaceDE w:val="0"/>
        <w:autoSpaceDN w:val="0"/>
        <w:adjustRightInd w:val="0"/>
        <w:spacing w:after="0" w:line="240" w:lineRule="auto"/>
        <w:jc w:val="both"/>
        <w:rPr>
          <w:rFonts w:ascii="Times New Roman" w:hAnsi="Times New Roman"/>
          <w:color w:val="000000"/>
          <w:sz w:val="20"/>
          <w:szCs w:val="20"/>
          <w:lang w:eastAsia="ru-RU"/>
        </w:rPr>
      </w:pP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Напомним, что налогоплательщикам могут быть предоставлены следующие виды вычетов: стандартные – на детей, социальные – на страхование жизни, на лечение и приобретение медикаментов, на обучение, на негосударственное пенсионное обеспечение, по расходам на накопительную часть трудовой пенсии, добровольное пенсионное страхование и добровольное страхование жизни, инвестиционные, имущественные при покупке жилья, профессиональные и вычеты при переносе на будущие периоды убытков от операций с ценными бумагами.</w:t>
      </w: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Некоторые граждане частично или полностью лишены возможности получения налоговых вычетов, так как основным условием является уплата налога на доходы физических лиц (НДФЛ). Тем не менее граждане продолжают соглашаться на т.н. «серые» схемы выплат, при которых только часть дохода – и порой незначительная – фиксируется в договоре между работником и работодателем, а большая часть выплат осуществляется неофициально. Сотрудник получает таким образом сиюминутную выгоду в виде повышения текущего дохода за счет неуплаты НДФЛ, однако лишает себя целого ряда возможностей и гарантий в будущем. Так, лишается правовых гарантий в части своевременности и полноты выплат, поскольку его «серая» зарплата не закреплена никаким официальным документом. Кроме того, размер пособия из-за временной нетрудоспособности, отпускные и другие льготы и гарантии рассчитываются на основе официальной, а не фактической зарплаты.</w:t>
      </w:r>
    </w:p>
    <w:p w:rsidR="00DF2C01" w:rsidRPr="00356D7F" w:rsidRDefault="00DF2C01" w:rsidP="001C4988">
      <w:pPr>
        <w:pStyle w:val="a8"/>
        <w:ind w:firstLine="360"/>
        <w:jc w:val="both"/>
        <w:rPr>
          <w:sz w:val="28"/>
          <w:szCs w:val="28"/>
        </w:rPr>
      </w:pPr>
      <w:r w:rsidRPr="00356D7F">
        <w:rPr>
          <w:sz w:val="28"/>
          <w:szCs w:val="28"/>
        </w:rPr>
        <w:t>Необходимо также учесть, что чем ниже официальный доход, тем ниже ежегодная сумма, доступная к вычету. Из-за небольшого размера удержанного НДФЛ сроки получения вычета могут растягиваться на десятилетия, а налогоплательщик вынужден ежегодно заполнять и представлять декларацию в налоговый орган.</w:t>
      </w:r>
    </w:p>
    <w:p w:rsidR="00DF2C01" w:rsidRPr="00356D7F" w:rsidRDefault="00DF2C01" w:rsidP="001C4988">
      <w:pPr>
        <w:pStyle w:val="a8"/>
        <w:ind w:firstLine="360"/>
        <w:jc w:val="both"/>
        <w:rPr>
          <w:sz w:val="28"/>
          <w:szCs w:val="28"/>
        </w:rPr>
      </w:pPr>
      <w:r w:rsidRPr="00356D7F">
        <w:rPr>
          <w:sz w:val="28"/>
          <w:szCs w:val="28"/>
        </w:rPr>
        <w:t>Искусственное занижение официального дохода также негативно влияет на кредитный рейтинг налогоплательщика, в глазах банка существенно уменьшая его платежеспособность. Результатом может стать отказ в кредитовании или ухудшение его условий (высокая процентная ставка).</w:t>
      </w:r>
    </w:p>
    <w:p w:rsidR="00DF2C01" w:rsidRPr="00356D7F"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В случае</w:t>
      </w:r>
      <w:r w:rsidR="00F44466">
        <w:rPr>
          <w:rFonts w:ascii="Times New Roman" w:hAnsi="Times New Roman"/>
          <w:sz w:val="28"/>
          <w:szCs w:val="28"/>
        </w:rPr>
        <w:t>,</w:t>
      </w:r>
      <w:r w:rsidRPr="00356D7F">
        <w:rPr>
          <w:rFonts w:ascii="Times New Roman" w:hAnsi="Times New Roman"/>
          <w:sz w:val="28"/>
          <w:szCs w:val="28"/>
        </w:rPr>
        <w:t xml:space="preserve"> если отношения между работником и нанимателем оформлены в соответствии с законом, то есть работник получает «белую» зарплату, а работодатель перечисляет в бюджет НДФЛ и уплачивает страховые взносы на пенсионное и </w:t>
      </w:r>
      <w:r w:rsidRPr="00356D7F">
        <w:rPr>
          <w:rFonts w:ascii="Times New Roman" w:hAnsi="Times New Roman"/>
          <w:sz w:val="28"/>
          <w:szCs w:val="28"/>
        </w:rPr>
        <w:lastRenderedPageBreak/>
        <w:t>социальное страхование сотрудников, а также на их медицинское обслуживание, то эти отчисления гарантируют работнику:</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оплачиваемые отпуска – очередные, в связи с беременностью и родами, по уходу за ребенком до 3-х лет;</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выплаты на время болезни;</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размер пенсии, который зависит от официальной заработной платы и трудового стажа;</w:t>
      </w:r>
    </w:p>
    <w:p w:rsidR="00DF2C01" w:rsidRPr="00356D7F" w:rsidRDefault="00DF2C01" w:rsidP="001C4988">
      <w:pPr>
        <w:pStyle w:val="a8"/>
        <w:numPr>
          <w:ilvl w:val="0"/>
          <w:numId w:val="13"/>
        </w:numPr>
        <w:spacing w:before="0" w:beforeAutospacing="0" w:after="0" w:afterAutospacing="0"/>
        <w:jc w:val="both"/>
        <w:rPr>
          <w:rFonts w:eastAsia="Calibri"/>
          <w:sz w:val="28"/>
          <w:szCs w:val="28"/>
          <w:lang w:eastAsia="en-US"/>
        </w:rPr>
      </w:pPr>
      <w:r w:rsidRPr="00356D7F">
        <w:rPr>
          <w:rFonts w:eastAsia="Calibri"/>
          <w:sz w:val="28"/>
          <w:szCs w:val="28"/>
          <w:lang w:eastAsia="en-US"/>
        </w:rPr>
        <w:t>выплаты при несчастных случаях на производстве, профессиональных заболеваниях и инвалидности;</w:t>
      </w:r>
    </w:p>
    <w:p w:rsidR="00DF2C01" w:rsidRPr="00356D7F" w:rsidRDefault="00DF2C01" w:rsidP="001C4988">
      <w:pPr>
        <w:pStyle w:val="a8"/>
        <w:numPr>
          <w:ilvl w:val="0"/>
          <w:numId w:val="13"/>
        </w:numPr>
        <w:spacing w:before="0" w:beforeAutospacing="0" w:after="240" w:afterAutospacing="0"/>
        <w:jc w:val="both"/>
        <w:rPr>
          <w:rFonts w:eastAsia="Calibri"/>
          <w:sz w:val="28"/>
          <w:szCs w:val="28"/>
          <w:lang w:eastAsia="en-US"/>
        </w:rPr>
      </w:pPr>
      <w:r w:rsidRPr="00356D7F">
        <w:rPr>
          <w:rFonts w:eastAsia="Calibri"/>
          <w:sz w:val="28"/>
          <w:szCs w:val="28"/>
          <w:lang w:eastAsia="en-US"/>
        </w:rPr>
        <w:t>другие гарантии и выплаты, гарантированные трудовым законодательством при официально получаемой зарплате.</w:t>
      </w:r>
    </w:p>
    <w:p w:rsidR="00C96669" w:rsidRPr="00DF2C01" w:rsidRDefault="00DF2C01" w:rsidP="001C4988">
      <w:pPr>
        <w:spacing w:line="240" w:lineRule="auto"/>
        <w:ind w:firstLine="360"/>
        <w:jc w:val="both"/>
        <w:rPr>
          <w:rFonts w:ascii="Times New Roman" w:hAnsi="Times New Roman"/>
          <w:sz w:val="28"/>
          <w:szCs w:val="28"/>
        </w:rPr>
      </w:pPr>
      <w:r w:rsidRPr="00356D7F">
        <w:rPr>
          <w:rFonts w:ascii="Times New Roman" w:hAnsi="Times New Roman"/>
          <w:sz w:val="28"/>
          <w:szCs w:val="28"/>
        </w:rPr>
        <w:t>Поэтому</w:t>
      </w:r>
      <w:r w:rsidR="00F44466">
        <w:rPr>
          <w:rFonts w:ascii="Times New Roman" w:hAnsi="Times New Roman"/>
          <w:sz w:val="28"/>
          <w:szCs w:val="28"/>
        </w:rPr>
        <w:t>,</w:t>
      </w:r>
      <w:r w:rsidRPr="00356D7F">
        <w:rPr>
          <w:rFonts w:ascii="Times New Roman" w:hAnsi="Times New Roman"/>
          <w:sz w:val="28"/>
          <w:szCs w:val="28"/>
        </w:rPr>
        <w:t xml:space="preserve"> прежде всего</w:t>
      </w:r>
      <w:r w:rsidR="00F44466">
        <w:rPr>
          <w:rFonts w:ascii="Times New Roman" w:hAnsi="Times New Roman"/>
          <w:sz w:val="28"/>
          <w:szCs w:val="28"/>
        </w:rPr>
        <w:t>,</w:t>
      </w:r>
      <w:r w:rsidRPr="00356D7F">
        <w:rPr>
          <w:rFonts w:ascii="Times New Roman" w:hAnsi="Times New Roman"/>
          <w:sz w:val="28"/>
          <w:szCs w:val="28"/>
        </w:rPr>
        <w:t xml:space="preserve"> именно работники должны быть заинтересованы в официальном трудоустройстве, письменном заключении трудового договора, в котором должны быть прописаны все условия работы, в том числе и размер заработной платы. Только при таких условиях сотрудник организации может рассчитывать на все гарантии, которые предоставляет трудовое законодательство, и быть уверенным в том, что н</w:t>
      </w:r>
      <w:r>
        <w:rPr>
          <w:rFonts w:ascii="Times New Roman" w:hAnsi="Times New Roman"/>
          <w:sz w:val="28"/>
          <w:szCs w:val="28"/>
        </w:rPr>
        <w:t>е будет ущемлен в своих правах.</w:t>
      </w:r>
    </w:p>
    <w:sectPr w:rsidR="00C96669" w:rsidRPr="00DF2C01" w:rsidSect="00064F0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85" w:rsidRDefault="003A7285" w:rsidP="00506C4E">
      <w:pPr>
        <w:spacing w:after="0" w:line="240" w:lineRule="auto"/>
      </w:pPr>
      <w:r>
        <w:separator/>
      </w:r>
    </w:p>
  </w:endnote>
  <w:endnote w:type="continuationSeparator" w:id="0">
    <w:p w:rsidR="003A7285" w:rsidRDefault="003A7285" w:rsidP="0050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85" w:rsidRDefault="003A7285" w:rsidP="00506C4E">
      <w:pPr>
        <w:spacing w:after="0" w:line="240" w:lineRule="auto"/>
      </w:pPr>
      <w:r>
        <w:separator/>
      </w:r>
    </w:p>
  </w:footnote>
  <w:footnote w:type="continuationSeparator" w:id="0">
    <w:p w:rsidR="003A7285" w:rsidRDefault="003A7285" w:rsidP="00506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51" w:type="dxa"/>
      <w:tblBorders>
        <w:bottom w:val="single" w:sz="4" w:space="0" w:color="auto"/>
        <w:insideH w:val="single" w:sz="4" w:space="0" w:color="auto"/>
      </w:tblBorders>
      <w:tblLook w:val="04A0"/>
    </w:tblPr>
    <w:tblGrid>
      <w:gridCol w:w="2093"/>
      <w:gridCol w:w="8505"/>
    </w:tblGrid>
    <w:tr w:rsidR="00506C4E" w:rsidTr="00506C4E">
      <w:trPr>
        <w:trHeight w:val="856"/>
        <w:jc w:val="center"/>
      </w:trPr>
      <w:tc>
        <w:tcPr>
          <w:tcW w:w="2093" w:type="dxa"/>
          <w:shd w:val="clear" w:color="auto" w:fill="auto"/>
        </w:tcPr>
        <w:p w:rsidR="00506C4E" w:rsidRPr="0087788A" w:rsidRDefault="00506C4E" w:rsidP="009F5924">
          <w:pPr>
            <w:pStyle w:val="a3"/>
            <w:spacing w:after="0" w:line="240" w:lineRule="auto"/>
            <w:rPr>
              <w:lang w:val="ru-RU"/>
            </w:rPr>
          </w:pPr>
          <w:r w:rsidRPr="0087788A">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3.2pt">
                <v:imagedata r:id="rId1" o:title="FNS-logo_25" blacklevel="-6554f"/>
              </v:shape>
            </w:pict>
          </w:r>
        </w:p>
      </w:tc>
      <w:tc>
        <w:tcPr>
          <w:tcW w:w="8505" w:type="dxa"/>
          <w:shd w:val="clear" w:color="auto" w:fill="auto"/>
        </w:tcPr>
        <w:p w:rsidR="00506C4E" w:rsidRPr="0087788A" w:rsidRDefault="00506C4E" w:rsidP="009F5924">
          <w:pPr>
            <w:pStyle w:val="a3"/>
            <w:spacing w:after="0" w:line="240" w:lineRule="auto"/>
            <w:jc w:val="center"/>
            <w:rPr>
              <w:rFonts w:ascii="Trebuchet MS" w:hAnsi="Trebuchet MS"/>
              <w:b/>
              <w:lang w:val="ru-RU"/>
            </w:rPr>
          </w:pPr>
        </w:p>
        <w:p w:rsidR="00506C4E" w:rsidRPr="0087788A" w:rsidRDefault="00506C4E" w:rsidP="009F5924">
          <w:pPr>
            <w:pStyle w:val="a3"/>
            <w:spacing w:after="0" w:line="240" w:lineRule="auto"/>
            <w:jc w:val="center"/>
            <w:rPr>
              <w:rFonts w:ascii="Trebuchet MS" w:hAnsi="Trebuchet MS"/>
              <w:b/>
              <w:lang w:val="ru-RU"/>
            </w:rPr>
          </w:pPr>
          <w:r w:rsidRPr="0087788A">
            <w:rPr>
              <w:rFonts w:ascii="Trebuchet MS" w:hAnsi="Trebuchet MS"/>
              <w:b/>
              <w:lang w:val="ru-RU"/>
            </w:rPr>
            <w:t>Управление Федеральной налоговой службы по Ростовской области</w:t>
          </w:r>
        </w:p>
        <w:p w:rsidR="00506C4E" w:rsidRPr="0087788A" w:rsidRDefault="00506C4E" w:rsidP="009F5924">
          <w:pPr>
            <w:pStyle w:val="a3"/>
            <w:spacing w:after="0" w:line="240" w:lineRule="auto"/>
            <w:jc w:val="center"/>
            <w:rPr>
              <w:lang w:val="ru-RU"/>
            </w:rPr>
          </w:pPr>
        </w:p>
      </w:tc>
    </w:tr>
  </w:tbl>
  <w:p w:rsidR="00506C4E" w:rsidRPr="001E4EB6" w:rsidRDefault="00506C4E" w:rsidP="00506C4E">
    <w:pPr>
      <w:pStyle w:val="a3"/>
      <w:tabs>
        <w:tab w:val="center" w:pos="5233"/>
        <w:tab w:val="left" w:pos="6348"/>
      </w:tabs>
      <w:jc w:val="center"/>
    </w:pPr>
    <w:r w:rsidRPr="001E4EB6">
      <w:rPr>
        <w:rFonts w:ascii="Trebuchet MS" w:hAnsi="Trebuchet MS"/>
        <w:b/>
      </w:rPr>
      <w:t>ПРЕСС-РЕЛИЗ</w:t>
    </w:r>
  </w:p>
  <w:p w:rsidR="00506C4E" w:rsidRDefault="00506C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4E" w:rsidRDefault="00506C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89D"/>
    <w:multiLevelType w:val="hybridMultilevel"/>
    <w:tmpl w:val="EC58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61DF0"/>
    <w:multiLevelType w:val="hybridMultilevel"/>
    <w:tmpl w:val="A3E4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6677C"/>
    <w:multiLevelType w:val="hybridMultilevel"/>
    <w:tmpl w:val="B0F89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3F778D"/>
    <w:multiLevelType w:val="multilevel"/>
    <w:tmpl w:val="52F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nsid w:val="46684D52"/>
    <w:multiLevelType w:val="multilevel"/>
    <w:tmpl w:val="F700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0449A"/>
    <w:multiLevelType w:val="hybridMultilevel"/>
    <w:tmpl w:val="148468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D7860"/>
    <w:multiLevelType w:val="hybridMultilevel"/>
    <w:tmpl w:val="92BA9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905D6"/>
    <w:multiLevelType w:val="hybridMultilevel"/>
    <w:tmpl w:val="D8141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B509C"/>
    <w:multiLevelType w:val="hybridMultilevel"/>
    <w:tmpl w:val="47C2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B0C8B"/>
    <w:multiLevelType w:val="multilevel"/>
    <w:tmpl w:val="9FC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F1946"/>
    <w:multiLevelType w:val="multilevel"/>
    <w:tmpl w:val="9D8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C5DBB"/>
    <w:multiLevelType w:val="hybridMultilevel"/>
    <w:tmpl w:val="1C86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6"/>
  </w:num>
  <w:num w:numId="5">
    <w:abstractNumId w:val="1"/>
  </w:num>
  <w:num w:numId="6">
    <w:abstractNumId w:val="2"/>
  </w:num>
  <w:num w:numId="7">
    <w:abstractNumId w:val="11"/>
  </w:num>
  <w:num w:numId="8">
    <w:abstractNumId w:val="10"/>
  </w:num>
  <w:num w:numId="9">
    <w:abstractNumId w:val="4"/>
  </w:num>
  <w:num w:numId="10">
    <w:abstractNumId w:val="7"/>
  </w:num>
  <w:num w:numId="11">
    <w:abstractNumId w:val="3"/>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C3D"/>
    <w:rsid w:val="00050188"/>
    <w:rsid w:val="00064F0F"/>
    <w:rsid w:val="00075C32"/>
    <w:rsid w:val="00111A8A"/>
    <w:rsid w:val="001645ED"/>
    <w:rsid w:val="0017284B"/>
    <w:rsid w:val="00176C66"/>
    <w:rsid w:val="0017761F"/>
    <w:rsid w:val="001848DC"/>
    <w:rsid w:val="001A362D"/>
    <w:rsid w:val="001C4988"/>
    <w:rsid w:val="001E6255"/>
    <w:rsid w:val="00290173"/>
    <w:rsid w:val="0033040F"/>
    <w:rsid w:val="003944A7"/>
    <w:rsid w:val="003A2BB4"/>
    <w:rsid w:val="003A7285"/>
    <w:rsid w:val="003E0003"/>
    <w:rsid w:val="00405AE9"/>
    <w:rsid w:val="004B0E9D"/>
    <w:rsid w:val="004C5016"/>
    <w:rsid w:val="00506C4E"/>
    <w:rsid w:val="005C4BBD"/>
    <w:rsid w:val="005D1558"/>
    <w:rsid w:val="00634FC0"/>
    <w:rsid w:val="0064311E"/>
    <w:rsid w:val="00691215"/>
    <w:rsid w:val="00712439"/>
    <w:rsid w:val="007248D1"/>
    <w:rsid w:val="00731981"/>
    <w:rsid w:val="00762275"/>
    <w:rsid w:val="0078580A"/>
    <w:rsid w:val="007A5DB4"/>
    <w:rsid w:val="007E070A"/>
    <w:rsid w:val="0086271E"/>
    <w:rsid w:val="00875FD5"/>
    <w:rsid w:val="0087788A"/>
    <w:rsid w:val="008B51DE"/>
    <w:rsid w:val="008C5770"/>
    <w:rsid w:val="008C5C3D"/>
    <w:rsid w:val="008E5843"/>
    <w:rsid w:val="00911E0E"/>
    <w:rsid w:val="00914E83"/>
    <w:rsid w:val="009330E7"/>
    <w:rsid w:val="009B7C8C"/>
    <w:rsid w:val="009F5924"/>
    <w:rsid w:val="00A621C0"/>
    <w:rsid w:val="00A66DE2"/>
    <w:rsid w:val="00A751FE"/>
    <w:rsid w:val="00AC71BA"/>
    <w:rsid w:val="00B606E8"/>
    <w:rsid w:val="00B75387"/>
    <w:rsid w:val="00BD4215"/>
    <w:rsid w:val="00BE7D2E"/>
    <w:rsid w:val="00C32B6B"/>
    <w:rsid w:val="00C42706"/>
    <w:rsid w:val="00C74246"/>
    <w:rsid w:val="00C96669"/>
    <w:rsid w:val="00CF36FC"/>
    <w:rsid w:val="00D1604A"/>
    <w:rsid w:val="00D76EB8"/>
    <w:rsid w:val="00D8474D"/>
    <w:rsid w:val="00DF2C01"/>
    <w:rsid w:val="00E41FD4"/>
    <w:rsid w:val="00E6130C"/>
    <w:rsid w:val="00E64213"/>
    <w:rsid w:val="00E82B2E"/>
    <w:rsid w:val="00E97017"/>
    <w:rsid w:val="00F3665F"/>
    <w:rsid w:val="00F44466"/>
    <w:rsid w:val="00F71E92"/>
    <w:rsid w:val="00F72A89"/>
    <w:rsid w:val="00FC7CBF"/>
    <w:rsid w:val="00FD1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4E"/>
    <w:pPr>
      <w:tabs>
        <w:tab w:val="center" w:pos="4677"/>
        <w:tab w:val="right" w:pos="9355"/>
      </w:tabs>
    </w:pPr>
    <w:rPr>
      <w:lang/>
    </w:rPr>
  </w:style>
  <w:style w:type="character" w:customStyle="1" w:styleId="a4">
    <w:name w:val="Верхний колонтитул Знак"/>
    <w:link w:val="a3"/>
    <w:uiPriority w:val="99"/>
    <w:rsid w:val="00506C4E"/>
    <w:rPr>
      <w:sz w:val="22"/>
      <w:szCs w:val="22"/>
      <w:lang w:eastAsia="en-US"/>
    </w:rPr>
  </w:style>
  <w:style w:type="paragraph" w:styleId="a5">
    <w:name w:val="footer"/>
    <w:basedOn w:val="a"/>
    <w:link w:val="a6"/>
    <w:uiPriority w:val="99"/>
    <w:unhideWhenUsed/>
    <w:rsid w:val="00506C4E"/>
    <w:pPr>
      <w:tabs>
        <w:tab w:val="center" w:pos="4677"/>
        <w:tab w:val="right" w:pos="9355"/>
      </w:tabs>
    </w:pPr>
    <w:rPr>
      <w:lang/>
    </w:rPr>
  </w:style>
  <w:style w:type="character" w:customStyle="1" w:styleId="a6">
    <w:name w:val="Нижний колонтитул Знак"/>
    <w:link w:val="a5"/>
    <w:uiPriority w:val="99"/>
    <w:rsid w:val="00506C4E"/>
    <w:rPr>
      <w:sz w:val="22"/>
      <w:szCs w:val="22"/>
      <w:lang w:eastAsia="en-US"/>
    </w:rPr>
  </w:style>
  <w:style w:type="character" w:styleId="a7">
    <w:name w:val="Hyperlink"/>
    <w:uiPriority w:val="99"/>
    <w:semiHidden/>
    <w:unhideWhenUsed/>
    <w:rsid w:val="00A621C0"/>
    <w:rPr>
      <w:color w:val="0000FF"/>
      <w:u w:val="single"/>
    </w:rPr>
  </w:style>
  <w:style w:type="paragraph" w:styleId="a8">
    <w:name w:val="Normal (Web)"/>
    <w:basedOn w:val="a"/>
    <w:uiPriority w:val="99"/>
    <w:unhideWhenUsed/>
    <w:rsid w:val="003944A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176C66"/>
    <w:pPr>
      <w:spacing w:after="160" w:line="259" w:lineRule="auto"/>
      <w:ind w:left="720"/>
      <w:contextualSpacing/>
    </w:pPr>
  </w:style>
  <w:style w:type="paragraph" w:styleId="aa">
    <w:name w:val="Balloon Text"/>
    <w:basedOn w:val="a"/>
    <w:link w:val="ab"/>
    <w:uiPriority w:val="99"/>
    <w:semiHidden/>
    <w:unhideWhenUsed/>
    <w:rsid w:val="001C4988"/>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1C49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3038298">
      <w:bodyDiv w:val="1"/>
      <w:marLeft w:val="0"/>
      <w:marRight w:val="0"/>
      <w:marTop w:val="0"/>
      <w:marBottom w:val="0"/>
      <w:divBdr>
        <w:top w:val="none" w:sz="0" w:space="0" w:color="auto"/>
        <w:left w:val="none" w:sz="0" w:space="0" w:color="auto"/>
        <w:bottom w:val="none" w:sz="0" w:space="0" w:color="auto"/>
        <w:right w:val="none" w:sz="0" w:space="0" w:color="auto"/>
      </w:divBdr>
    </w:div>
    <w:div w:id="444037553">
      <w:bodyDiv w:val="1"/>
      <w:marLeft w:val="0"/>
      <w:marRight w:val="0"/>
      <w:marTop w:val="0"/>
      <w:marBottom w:val="0"/>
      <w:divBdr>
        <w:top w:val="none" w:sz="0" w:space="0" w:color="auto"/>
        <w:left w:val="none" w:sz="0" w:space="0" w:color="auto"/>
        <w:bottom w:val="none" w:sz="0" w:space="0" w:color="auto"/>
        <w:right w:val="none" w:sz="0" w:space="0" w:color="auto"/>
      </w:divBdr>
    </w:div>
    <w:div w:id="765033827">
      <w:bodyDiv w:val="1"/>
      <w:marLeft w:val="0"/>
      <w:marRight w:val="0"/>
      <w:marTop w:val="0"/>
      <w:marBottom w:val="0"/>
      <w:divBdr>
        <w:top w:val="none" w:sz="0" w:space="0" w:color="auto"/>
        <w:left w:val="none" w:sz="0" w:space="0" w:color="auto"/>
        <w:bottom w:val="none" w:sz="0" w:space="0" w:color="auto"/>
        <w:right w:val="none" w:sz="0" w:space="0" w:color="auto"/>
      </w:divBdr>
    </w:div>
    <w:div w:id="1240596741">
      <w:bodyDiv w:val="1"/>
      <w:marLeft w:val="0"/>
      <w:marRight w:val="0"/>
      <w:marTop w:val="0"/>
      <w:marBottom w:val="0"/>
      <w:divBdr>
        <w:top w:val="none" w:sz="0" w:space="0" w:color="auto"/>
        <w:left w:val="none" w:sz="0" w:space="0" w:color="auto"/>
        <w:bottom w:val="none" w:sz="0" w:space="0" w:color="auto"/>
        <w:right w:val="none" w:sz="0" w:space="0" w:color="auto"/>
      </w:divBdr>
    </w:div>
    <w:div w:id="13941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Александра Александровна</dc:creator>
  <cp:lastModifiedBy>6191-00-370</cp:lastModifiedBy>
  <cp:revision>2</cp:revision>
  <cp:lastPrinted>2022-08-25T11:48:00Z</cp:lastPrinted>
  <dcterms:created xsi:type="dcterms:W3CDTF">2022-08-29T11:23:00Z</dcterms:created>
  <dcterms:modified xsi:type="dcterms:W3CDTF">2022-08-29T11:23:00Z</dcterms:modified>
</cp:coreProperties>
</file>